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E6179FB"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C17E2">
            <w:rPr>
              <w:rStyle w:val="Style1"/>
            </w:rPr>
            <w:t>TBD</w:t>
          </w:r>
        </w:sdtContent>
      </w:sdt>
    </w:p>
    <w:p w14:paraId="0CABCF56" w14:textId="21CC800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C17E2">
            <w:rPr>
              <w:rStyle w:val="Style1"/>
              <w:rFonts w:cstheme="minorHAnsi"/>
            </w:rPr>
            <w:t>Hospital-</w:t>
          </w:r>
          <w:r w:rsidR="001828FC">
            <w:rPr>
              <w:rStyle w:val="Style1"/>
              <w:rFonts w:cstheme="minorHAnsi"/>
            </w:rPr>
            <w:t>L</w:t>
          </w:r>
          <w:r w:rsidR="000C17E2">
            <w:rPr>
              <w:rStyle w:val="Style1"/>
              <w:rFonts w:cstheme="minorHAnsi"/>
            </w:rPr>
            <w:t xml:space="preserve">evel, </w:t>
          </w:r>
          <w:r w:rsidR="001828FC">
            <w:rPr>
              <w:rStyle w:val="Style1"/>
              <w:rFonts w:cstheme="minorHAnsi"/>
            </w:rPr>
            <w:t>R</w:t>
          </w:r>
          <w:r w:rsidR="000C17E2">
            <w:rPr>
              <w:rStyle w:val="Style1"/>
              <w:rFonts w:cstheme="minorHAnsi"/>
            </w:rPr>
            <w:t>isk-</w:t>
          </w:r>
          <w:r w:rsidR="001828FC">
            <w:rPr>
              <w:rStyle w:val="Style1"/>
              <w:rFonts w:cstheme="minorHAnsi"/>
            </w:rPr>
            <w:t>S</w:t>
          </w:r>
          <w:r w:rsidR="000C17E2">
            <w:rPr>
              <w:rStyle w:val="Style1"/>
              <w:rFonts w:cstheme="minorHAnsi"/>
            </w:rPr>
            <w:t xml:space="preserve">tandardized </w:t>
          </w:r>
          <w:r w:rsidR="001828FC">
            <w:rPr>
              <w:rStyle w:val="Style1"/>
              <w:rFonts w:cstheme="minorHAnsi"/>
            </w:rPr>
            <w:t>P</w:t>
          </w:r>
          <w:r w:rsidR="000C17E2">
            <w:rPr>
              <w:rStyle w:val="Style1"/>
              <w:rFonts w:cstheme="minorHAnsi"/>
            </w:rPr>
            <w:t>atient-</w:t>
          </w:r>
          <w:r w:rsidR="001828FC">
            <w:rPr>
              <w:rStyle w:val="Style1"/>
              <w:rFonts w:cstheme="minorHAnsi"/>
            </w:rPr>
            <w:t>R</w:t>
          </w:r>
          <w:r w:rsidR="000C17E2">
            <w:rPr>
              <w:rStyle w:val="Style1"/>
              <w:rFonts w:cstheme="minorHAnsi"/>
            </w:rPr>
            <w:t xml:space="preserve">eported </w:t>
          </w:r>
          <w:r w:rsidR="001828FC">
            <w:rPr>
              <w:rStyle w:val="Style1"/>
              <w:rFonts w:cstheme="minorHAnsi"/>
            </w:rPr>
            <w:t>O</w:t>
          </w:r>
          <w:r w:rsidR="000C17E2">
            <w:rPr>
              <w:rStyle w:val="Style1"/>
              <w:rFonts w:cstheme="minorHAnsi"/>
            </w:rPr>
            <w:t xml:space="preserve">utcomes </w:t>
          </w:r>
          <w:r w:rsidR="001828FC">
            <w:rPr>
              <w:rStyle w:val="Style1"/>
              <w:rFonts w:cstheme="minorHAnsi"/>
            </w:rPr>
            <w:t>F</w:t>
          </w:r>
          <w:r w:rsidR="000C17E2">
            <w:rPr>
              <w:rStyle w:val="Style1"/>
              <w:rFonts w:cstheme="minorHAnsi"/>
            </w:rPr>
            <w:t xml:space="preserve">ollowing </w:t>
          </w:r>
          <w:r w:rsidR="001828FC">
            <w:rPr>
              <w:rStyle w:val="Style1"/>
              <w:rFonts w:cstheme="minorHAnsi"/>
            </w:rPr>
            <w:t>E</w:t>
          </w:r>
          <w:r w:rsidR="000C17E2">
            <w:rPr>
              <w:rStyle w:val="Style1"/>
              <w:rFonts w:cstheme="minorHAnsi"/>
            </w:rPr>
            <w:t xml:space="preserve">lective </w:t>
          </w:r>
          <w:r w:rsidR="001828FC">
            <w:rPr>
              <w:rStyle w:val="Style1"/>
              <w:rFonts w:cstheme="minorHAnsi"/>
            </w:rPr>
            <w:t>P</w:t>
          </w:r>
          <w:r w:rsidR="000C17E2">
            <w:rPr>
              <w:rStyle w:val="Style1"/>
              <w:rFonts w:cstheme="minorHAnsi"/>
            </w:rPr>
            <w:t xml:space="preserve">rimary </w:t>
          </w:r>
          <w:r w:rsidR="001828FC">
            <w:rPr>
              <w:rStyle w:val="Style1"/>
              <w:rFonts w:cstheme="minorHAnsi"/>
            </w:rPr>
            <w:t>T</w:t>
          </w:r>
          <w:r w:rsidR="000C17E2">
            <w:rPr>
              <w:rStyle w:val="Style1"/>
              <w:rFonts w:cstheme="minorHAnsi"/>
            </w:rPr>
            <w:t xml:space="preserve">otal </w:t>
          </w:r>
          <w:r w:rsidR="001828FC">
            <w:rPr>
              <w:rStyle w:val="Style1"/>
              <w:rFonts w:cstheme="minorHAnsi"/>
            </w:rPr>
            <w:t>H</w:t>
          </w:r>
          <w:r w:rsidR="000C17E2">
            <w:rPr>
              <w:rStyle w:val="Style1"/>
              <w:rFonts w:cstheme="minorHAnsi"/>
            </w:rPr>
            <w:t xml:space="preserve">ip and/or </w:t>
          </w:r>
          <w:r w:rsidR="001828FC">
            <w:rPr>
              <w:rStyle w:val="Style1"/>
              <w:rFonts w:cstheme="minorHAnsi"/>
            </w:rPr>
            <w:t>T</w:t>
          </w:r>
          <w:r w:rsidR="000C17E2">
            <w:rPr>
              <w:rStyle w:val="Style1"/>
              <w:rFonts w:cstheme="minorHAnsi"/>
            </w:rPr>
            <w:t xml:space="preserve">otal </w:t>
          </w:r>
          <w:r w:rsidR="001828FC">
            <w:rPr>
              <w:rStyle w:val="Style1"/>
              <w:rFonts w:cstheme="minorHAnsi"/>
            </w:rPr>
            <w:t>K</w:t>
          </w:r>
          <w:r w:rsidR="000C17E2">
            <w:rPr>
              <w:rStyle w:val="Style1"/>
              <w:rFonts w:cstheme="minorHAnsi"/>
            </w:rPr>
            <w:t xml:space="preserve">nee </w:t>
          </w:r>
          <w:r w:rsidR="001828FC">
            <w:rPr>
              <w:rStyle w:val="Style1"/>
              <w:rFonts w:cstheme="minorHAnsi"/>
            </w:rPr>
            <w:t>A</w:t>
          </w:r>
          <w:r w:rsidR="000C17E2">
            <w:rPr>
              <w:rStyle w:val="Style1"/>
              <w:rFonts w:cstheme="minorHAnsi"/>
            </w:rPr>
            <w:t>rthroplasty (THA/TKA)</w:t>
          </w:r>
        </w:sdtContent>
      </w:sdt>
    </w:p>
    <w:p w14:paraId="0CABCF57" w14:textId="3EB4D46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dateFormat w:val="M/d/yyyy"/>
            <w:lid w:val="en-US"/>
            <w:storeMappedDataAs w:val="dateTime"/>
            <w:calendar w:val="gregorian"/>
          </w:date>
        </w:sdtPr>
        <w:sdtEndPr>
          <w:rPr>
            <w:rStyle w:val="DefaultParagraphFont"/>
            <w:noProof/>
            <w:color w:val="auto"/>
            <w:u w:val="none"/>
          </w:rPr>
        </w:sdtEndPr>
        <w:sdtContent>
          <w:r w:rsidR="00CF1D7F">
            <w:rPr>
              <w:rStyle w:val="Style2"/>
              <w:rFonts w:cstheme="minorHAnsi"/>
            </w:rPr>
            <w:t>TBD</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1F143221" w:rsidR="000B7D57" w:rsidRPr="00C775CE" w:rsidRDefault="00D77281"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3486B666" w:rsidR="000B7D57" w:rsidRPr="00C775CE" w:rsidRDefault="00D7728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317D2818" w:rsidR="000B7D57" w:rsidRPr="00C775CE" w:rsidRDefault="00D7728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03A2881F" w:rsidR="000B7D57" w:rsidRPr="00C775CE" w:rsidRDefault="00D7728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0330BB84" w:rsidR="000B7D57" w:rsidRPr="00C775CE" w:rsidRDefault="00D7728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1F946DD1" w:rsidR="000B7D57" w:rsidRPr="00C775CE" w:rsidRDefault="00D7728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56C44D4F" w:rsidR="000B7D57" w:rsidRPr="00C775CE" w:rsidRDefault="00D7728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EFF1809" w:rsidR="00145149" w:rsidRPr="000F034A" w:rsidRDefault="00145149" w:rsidP="00145149">
            <w:pPr>
              <w:rPr>
                <w:rFonts w:cstheme="minorHAnsi"/>
              </w:rPr>
            </w:pPr>
            <w:r w:rsidRPr="000F034A">
              <w:rPr>
                <w:rFonts w:cstheme="minorHAnsi"/>
              </w:rPr>
              <w:t>If patient preference (e.g., informed decision</w:t>
            </w:r>
            <w:r w:rsidR="0048218A">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C53285"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C53285" w:rsidRPr="00A01494" w14:paraId="0CABCF9D" w14:textId="77777777" w:rsidTr="0014773C">
        <w:trPr>
          <w:jc w:val="center"/>
        </w:trPr>
        <w:tc>
          <w:tcPr>
            <w:tcW w:w="5208" w:type="dxa"/>
          </w:tcPr>
          <w:p w14:paraId="0CABCF9B" w14:textId="59DECFF0" w:rsidR="00A01494" w:rsidRPr="00A01494" w:rsidRDefault="00D7728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1C6FD809" w:rsidR="00A01494" w:rsidRPr="00A01494" w:rsidRDefault="00D7728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C53285" w:rsidRPr="00A01494" w14:paraId="0CABCFA0" w14:textId="77777777" w:rsidTr="0014773C">
        <w:trPr>
          <w:jc w:val="center"/>
        </w:trPr>
        <w:tc>
          <w:tcPr>
            <w:tcW w:w="5208" w:type="dxa"/>
          </w:tcPr>
          <w:p w14:paraId="0CABCF9E" w14:textId="5EFA2887" w:rsidR="00A01494" w:rsidRPr="000F1B7A" w:rsidRDefault="00D7728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6FEE4713" w:rsidR="00A01494" w:rsidRPr="000F1B7A" w:rsidRDefault="00D7728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C53285" w:rsidRPr="00A01494" w14:paraId="0CABCFA3" w14:textId="77777777" w:rsidTr="0014773C">
        <w:trPr>
          <w:jc w:val="center"/>
        </w:trPr>
        <w:tc>
          <w:tcPr>
            <w:tcW w:w="5208" w:type="dxa"/>
          </w:tcPr>
          <w:p w14:paraId="0CABCFA1" w14:textId="50C7D503" w:rsidR="00A01494" w:rsidRPr="000F1B7A" w:rsidRDefault="00D7728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693A6312" w:rsidR="00A01494" w:rsidRPr="000F1B7A" w:rsidRDefault="00D7728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C53285" w:rsidRPr="00A01494" w14:paraId="0CABCFA6" w14:textId="77777777" w:rsidTr="0014773C">
        <w:trPr>
          <w:jc w:val="center"/>
        </w:trPr>
        <w:tc>
          <w:tcPr>
            <w:tcW w:w="5208" w:type="dxa"/>
          </w:tcPr>
          <w:p w14:paraId="0CABCFA4" w14:textId="5BB9D81B" w:rsidR="00A01494" w:rsidRPr="000F1B7A" w:rsidRDefault="00D7728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54F91F83" w:rsidR="00A01494" w:rsidRPr="000F1B7A" w:rsidRDefault="00D7728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C53285" w:rsidRPr="00A01494" w14:paraId="0CABCFA9" w14:textId="77777777" w:rsidTr="0014773C">
        <w:trPr>
          <w:jc w:val="center"/>
        </w:trPr>
        <w:tc>
          <w:tcPr>
            <w:tcW w:w="5208" w:type="dxa"/>
          </w:tcPr>
          <w:p w14:paraId="0CABCFA7" w14:textId="598C2FE0" w:rsidR="00A01494" w:rsidRPr="000F1B7A" w:rsidRDefault="00D7728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2323EC1D" w:rsidR="00A01494" w:rsidRPr="000F1B7A" w:rsidRDefault="00D7728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C53285" w:rsidRPr="00A01494" w14:paraId="0CABCFAC" w14:textId="77777777" w:rsidTr="0014773C">
        <w:trPr>
          <w:jc w:val="center"/>
        </w:trPr>
        <w:tc>
          <w:tcPr>
            <w:tcW w:w="5208" w:type="dxa"/>
          </w:tcPr>
          <w:p w14:paraId="0CABCFAA" w14:textId="020016D9" w:rsidR="00A01494" w:rsidRPr="000F1B7A" w:rsidRDefault="00D77281" w:rsidP="00C53285">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CF1D7F">
                  <w:rPr>
                    <w:rStyle w:val="Style1"/>
                  </w:rPr>
                  <w:t>Patient-reported survey data; Medicare Enrollment Database (EDB); Master Beneficiary Summary File (MBSF); American Community Survey data</w:t>
                </w:r>
              </w:sdtContent>
            </w:sdt>
          </w:p>
        </w:tc>
        <w:tc>
          <w:tcPr>
            <w:tcW w:w="4847" w:type="dxa"/>
          </w:tcPr>
          <w:p w14:paraId="0CABCFAB" w14:textId="51494C01" w:rsidR="00A01494" w:rsidRPr="000F1B7A" w:rsidRDefault="00D77281" w:rsidP="00C53285">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color w:val="0000FF"/>
                </w:rPr>
                <w:id w:val="1976178076"/>
                <w:text/>
              </w:sdtPr>
              <w:sdtEndPr/>
              <w:sdtContent>
                <w:r w:rsidR="00CF1D7F">
                  <w:rPr>
                    <w:color w:val="0000FF"/>
                  </w:rPr>
                  <w:t>Patient-reported survey data; Medicare Enrollment Database (EDB); Master Beneficiary Summary File (MBSF); American Community Survey data</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tbl>
      <w:tblPr>
        <w:tblStyle w:val="TableGrid"/>
        <w:tblW w:w="0" w:type="auto"/>
        <w:tblLook w:val="04A0" w:firstRow="1" w:lastRow="0" w:firstColumn="1" w:lastColumn="0" w:noHBand="0" w:noVBand="1"/>
      </w:tblPr>
      <w:tblGrid>
        <w:gridCol w:w="9350"/>
      </w:tblGrid>
      <w:tr w:rsidR="00394224" w14:paraId="185E6561" w14:textId="77777777" w:rsidTr="00394224">
        <w:tc>
          <w:tcPr>
            <w:tcW w:w="9350" w:type="dxa"/>
          </w:tcPr>
          <w:p w14:paraId="62008684" w14:textId="4FA57E14" w:rsidR="00B2221E" w:rsidRDefault="00970EBD" w:rsidP="000C17E2">
            <w:pPr>
              <w:autoSpaceDE w:val="0"/>
              <w:autoSpaceDN w:val="0"/>
              <w:adjustRightInd w:val="0"/>
              <w:rPr>
                <w:rFonts w:cstheme="minorHAnsi"/>
              </w:rPr>
            </w:pPr>
            <w:r>
              <w:rPr>
                <w:rFonts w:cstheme="minorHAnsi"/>
              </w:rPr>
              <w:t>The principal data for development and testing of t</w:t>
            </w:r>
            <w:r w:rsidR="000C17E2" w:rsidRPr="000C17E2">
              <w:rPr>
                <w:rFonts w:cstheme="minorHAnsi"/>
              </w:rPr>
              <w:t xml:space="preserve">his measure </w:t>
            </w:r>
            <w:r>
              <w:rPr>
                <w:rFonts w:cstheme="minorHAnsi"/>
              </w:rPr>
              <w:t>w</w:t>
            </w:r>
            <w:r w:rsidR="004872F7">
              <w:rPr>
                <w:rFonts w:cstheme="minorHAnsi"/>
              </w:rPr>
              <w:t>ere</w:t>
            </w:r>
            <w:r>
              <w:rPr>
                <w:rFonts w:cstheme="minorHAnsi"/>
              </w:rPr>
              <w:t xml:space="preserve"> </w:t>
            </w:r>
            <w:r w:rsidR="000C17E2" w:rsidRPr="000C17E2">
              <w:rPr>
                <w:rFonts w:cstheme="minorHAnsi"/>
              </w:rPr>
              <w:t xml:space="preserve">patient-reported </w:t>
            </w:r>
            <w:r w:rsidR="007D4C93">
              <w:rPr>
                <w:rFonts w:cstheme="minorHAnsi"/>
              </w:rPr>
              <w:t>outcome</w:t>
            </w:r>
            <w:r w:rsidR="00183B1C">
              <w:rPr>
                <w:rFonts w:cstheme="minorHAnsi"/>
              </w:rPr>
              <w:t xml:space="preserve"> (PROs) </w:t>
            </w:r>
            <w:r w:rsidR="000C17E2" w:rsidRPr="000C17E2">
              <w:rPr>
                <w:rFonts w:cstheme="minorHAnsi"/>
              </w:rPr>
              <w:t>data</w:t>
            </w:r>
            <w:r w:rsidR="00B2166C">
              <w:rPr>
                <w:rFonts w:cstheme="minorHAnsi"/>
              </w:rPr>
              <w:t xml:space="preserve"> </w:t>
            </w:r>
            <w:r w:rsidR="00E60FA0">
              <w:rPr>
                <w:rFonts w:cstheme="minorHAnsi"/>
              </w:rPr>
              <w:t>and patient</w:t>
            </w:r>
            <w:r w:rsidR="007D4C93">
              <w:rPr>
                <w:rFonts w:cstheme="minorHAnsi"/>
              </w:rPr>
              <w:t>-</w:t>
            </w:r>
            <w:r w:rsidR="004B0E8F">
              <w:rPr>
                <w:rFonts w:cstheme="minorHAnsi"/>
              </w:rPr>
              <w:t xml:space="preserve"> </w:t>
            </w:r>
            <w:r w:rsidR="00E60FA0">
              <w:rPr>
                <w:rFonts w:cstheme="minorHAnsi"/>
              </w:rPr>
              <w:t xml:space="preserve">and provider-reported risk variable </w:t>
            </w:r>
            <w:r w:rsidR="000C17E2" w:rsidRPr="000C17E2">
              <w:rPr>
                <w:rFonts w:cstheme="minorHAnsi"/>
              </w:rPr>
              <w:t xml:space="preserve">data collected through the Center for Medicare and Medicaid Innovation (CMMI) Comprehensive Care for Joint Replacement (CJR) payment model. </w:t>
            </w:r>
            <w:r w:rsidR="000A700D">
              <w:rPr>
                <w:rFonts w:cstheme="minorHAnsi"/>
              </w:rPr>
              <w:t>T</w:t>
            </w:r>
            <w:r w:rsidR="0058506A">
              <w:rPr>
                <w:rFonts w:cstheme="minorHAnsi"/>
              </w:rPr>
              <w:t>his model provided</w:t>
            </w:r>
            <w:r w:rsidR="000A700D">
              <w:rPr>
                <w:rFonts w:cstheme="minorHAnsi"/>
              </w:rPr>
              <w:t xml:space="preserve"> real-world </w:t>
            </w:r>
            <w:r w:rsidR="0058506A">
              <w:rPr>
                <w:rFonts w:cstheme="minorHAnsi"/>
              </w:rPr>
              <w:t xml:space="preserve">data collection where participating hospitals received </w:t>
            </w:r>
            <w:r w:rsidR="009468FD">
              <w:rPr>
                <w:rFonts w:cstheme="minorHAnsi"/>
              </w:rPr>
              <w:t xml:space="preserve">up to </w:t>
            </w:r>
            <w:r w:rsidR="0058506A">
              <w:rPr>
                <w:rFonts w:cstheme="minorHAnsi"/>
              </w:rPr>
              <w:t xml:space="preserve">2 points towards their overall Quality Score which was used to help determine model reconciliation payments. </w:t>
            </w:r>
            <w:r w:rsidR="00B2221E">
              <w:rPr>
                <w:rFonts w:cstheme="minorHAnsi"/>
              </w:rPr>
              <w:t xml:space="preserve">PRO data collection </w:t>
            </w:r>
            <w:r w:rsidR="0058506A">
              <w:rPr>
                <w:rFonts w:cstheme="minorHAnsi"/>
              </w:rPr>
              <w:t xml:space="preserve">began </w:t>
            </w:r>
            <w:r w:rsidR="00B2221E">
              <w:rPr>
                <w:rFonts w:cstheme="minorHAnsi"/>
              </w:rPr>
              <w:t>i</w:t>
            </w:r>
            <w:r w:rsidR="0058506A">
              <w:rPr>
                <w:rFonts w:cstheme="minorHAnsi"/>
              </w:rPr>
              <w:t xml:space="preserve">n </w:t>
            </w:r>
            <w:r w:rsidR="00B2221E">
              <w:rPr>
                <w:rFonts w:cstheme="minorHAnsi"/>
              </w:rPr>
              <w:t xml:space="preserve">2016 </w:t>
            </w:r>
            <w:r w:rsidR="0058506A">
              <w:rPr>
                <w:rFonts w:cstheme="minorHAnsi"/>
              </w:rPr>
              <w:t xml:space="preserve">and </w:t>
            </w:r>
            <w:r w:rsidR="001735E1">
              <w:rPr>
                <w:rFonts w:cstheme="minorHAnsi"/>
              </w:rPr>
              <w:t>calendar year (</w:t>
            </w:r>
            <w:r w:rsidR="0058506A">
              <w:rPr>
                <w:rFonts w:cstheme="minorHAnsi"/>
              </w:rPr>
              <w:t>CY</w:t>
            </w:r>
            <w:r w:rsidR="001735E1">
              <w:rPr>
                <w:rFonts w:cstheme="minorHAnsi"/>
              </w:rPr>
              <w:t xml:space="preserve">) </w:t>
            </w:r>
            <w:r w:rsidR="0058506A">
              <w:rPr>
                <w:rFonts w:cstheme="minorHAnsi"/>
              </w:rPr>
              <w:t>2020 will be the 5</w:t>
            </w:r>
            <w:r w:rsidR="0058506A" w:rsidRPr="007232D2">
              <w:rPr>
                <w:rFonts w:cstheme="minorHAnsi"/>
                <w:vertAlign w:val="superscript"/>
              </w:rPr>
              <w:t>th</w:t>
            </w:r>
            <w:r w:rsidR="0058506A">
              <w:rPr>
                <w:rFonts w:cstheme="minorHAnsi"/>
              </w:rPr>
              <w:t xml:space="preserve"> and final performance year of the model. </w:t>
            </w:r>
            <w:r w:rsidR="00B2221E">
              <w:rPr>
                <w:rFonts w:cstheme="minorHAnsi"/>
              </w:rPr>
              <w:t>D</w:t>
            </w:r>
            <w:r w:rsidR="0058506A">
              <w:rPr>
                <w:rFonts w:cstheme="minorHAnsi"/>
              </w:rPr>
              <w:t>ates</w:t>
            </w:r>
            <w:r w:rsidR="00B2221E">
              <w:rPr>
                <w:rFonts w:cstheme="minorHAnsi"/>
              </w:rPr>
              <w:t xml:space="preserve"> for data collection </w:t>
            </w:r>
            <w:r w:rsidR="0058506A">
              <w:rPr>
                <w:rFonts w:cstheme="minorHAnsi"/>
              </w:rPr>
              <w:t>noted</w:t>
            </w:r>
            <w:r w:rsidR="00B2221E">
              <w:rPr>
                <w:rFonts w:cstheme="minorHAnsi"/>
              </w:rPr>
              <w:t xml:space="preserve"> in Section 1.3</w:t>
            </w:r>
            <w:r w:rsidR="0058506A">
              <w:rPr>
                <w:rFonts w:cstheme="minorHAnsi"/>
              </w:rPr>
              <w:t xml:space="preserve"> </w:t>
            </w:r>
            <w:r w:rsidR="00B2221E">
              <w:rPr>
                <w:rFonts w:cstheme="minorHAnsi"/>
              </w:rPr>
              <w:t>(</w:t>
            </w:r>
            <w:r w:rsidR="0058506A">
              <w:rPr>
                <w:rFonts w:cstheme="minorHAnsi"/>
              </w:rPr>
              <w:t>below</w:t>
            </w:r>
            <w:r w:rsidR="00B2221E">
              <w:rPr>
                <w:rFonts w:cstheme="minorHAnsi"/>
              </w:rPr>
              <w:t>)</w:t>
            </w:r>
            <w:r w:rsidR="0058506A">
              <w:rPr>
                <w:rFonts w:cstheme="minorHAnsi"/>
              </w:rPr>
              <w:t xml:space="preserve"> represent a combination of CJR model performance years 1 through 3 in order to capture a full 12 months of procedures with both preoperative and postoperative PRO data.  </w:t>
            </w:r>
          </w:p>
          <w:p w14:paraId="1F149B78" w14:textId="77777777" w:rsidR="00B2221E" w:rsidRDefault="00B2221E" w:rsidP="000C17E2">
            <w:pPr>
              <w:autoSpaceDE w:val="0"/>
              <w:autoSpaceDN w:val="0"/>
              <w:adjustRightInd w:val="0"/>
              <w:rPr>
                <w:rFonts w:cstheme="minorHAnsi"/>
              </w:rPr>
            </w:pPr>
          </w:p>
          <w:p w14:paraId="4BC4C554" w14:textId="56D2F883" w:rsidR="00970EBD" w:rsidRDefault="00970EBD" w:rsidP="000C17E2">
            <w:pPr>
              <w:autoSpaceDE w:val="0"/>
              <w:autoSpaceDN w:val="0"/>
              <w:adjustRightInd w:val="0"/>
              <w:rPr>
                <w:rFonts w:cstheme="minorHAnsi"/>
              </w:rPr>
            </w:pPr>
            <w:r>
              <w:rPr>
                <w:rFonts w:cstheme="minorHAnsi"/>
              </w:rPr>
              <w:t>Additional data were used as follows:</w:t>
            </w:r>
          </w:p>
          <w:p w14:paraId="492A236A" w14:textId="29B2CF3B" w:rsidR="00B2221E" w:rsidRDefault="000C17E2" w:rsidP="000C17E2">
            <w:pPr>
              <w:autoSpaceDE w:val="0"/>
              <w:autoSpaceDN w:val="0"/>
              <w:adjustRightInd w:val="0"/>
              <w:rPr>
                <w:rFonts w:cstheme="minorHAnsi"/>
              </w:rPr>
            </w:pPr>
            <w:r w:rsidRPr="000C17E2">
              <w:rPr>
                <w:rFonts w:cstheme="minorHAnsi"/>
              </w:rPr>
              <w:t>Medicare Parts A and B claims</w:t>
            </w:r>
            <w:r w:rsidR="00183B1C">
              <w:rPr>
                <w:rFonts w:cstheme="minorHAnsi"/>
              </w:rPr>
              <w:t xml:space="preserve"> data were used for </w:t>
            </w:r>
            <w:r w:rsidR="00361DD4">
              <w:rPr>
                <w:rFonts w:cstheme="minorHAnsi"/>
              </w:rPr>
              <w:t xml:space="preserve">identifying </w:t>
            </w:r>
            <w:r w:rsidR="0058506A">
              <w:rPr>
                <w:rFonts w:cstheme="minorHAnsi"/>
              </w:rPr>
              <w:t xml:space="preserve">eligible </w:t>
            </w:r>
            <w:r w:rsidR="00361DD4">
              <w:rPr>
                <w:rFonts w:cstheme="minorHAnsi"/>
              </w:rPr>
              <w:t xml:space="preserve">elective primary </w:t>
            </w:r>
            <w:r w:rsidR="00183B1C">
              <w:rPr>
                <w:rFonts w:cstheme="minorHAnsi"/>
              </w:rPr>
              <w:t>THA/TKA procedu</w:t>
            </w:r>
            <w:r w:rsidR="00361DD4">
              <w:rPr>
                <w:rFonts w:cstheme="minorHAnsi"/>
              </w:rPr>
              <w:t xml:space="preserve">res </w:t>
            </w:r>
            <w:r w:rsidR="00183B1C">
              <w:rPr>
                <w:rFonts w:cstheme="minorHAnsi"/>
              </w:rPr>
              <w:t>and for identifying patient comorbid conditions.</w:t>
            </w:r>
            <w:r w:rsidR="00361DD4">
              <w:rPr>
                <w:rFonts w:cstheme="minorHAnsi"/>
              </w:rPr>
              <w:t xml:space="preserve"> </w:t>
            </w:r>
          </w:p>
          <w:p w14:paraId="6205FE85" w14:textId="77777777" w:rsidR="00B2221E" w:rsidRDefault="00B2221E" w:rsidP="000C17E2">
            <w:pPr>
              <w:autoSpaceDE w:val="0"/>
              <w:autoSpaceDN w:val="0"/>
              <w:adjustRightInd w:val="0"/>
              <w:rPr>
                <w:rFonts w:cstheme="minorHAnsi"/>
              </w:rPr>
            </w:pPr>
          </w:p>
          <w:p w14:paraId="59613519" w14:textId="572EDB44" w:rsidR="000C17E2" w:rsidRPr="000C17E2" w:rsidRDefault="00361DD4" w:rsidP="000C17E2">
            <w:pPr>
              <w:autoSpaceDE w:val="0"/>
              <w:autoSpaceDN w:val="0"/>
              <w:adjustRightInd w:val="0"/>
              <w:rPr>
                <w:rFonts w:cstheme="minorHAnsi"/>
                <w:iCs/>
              </w:rPr>
            </w:pPr>
            <w:r>
              <w:rPr>
                <w:rFonts w:cstheme="minorHAnsi"/>
              </w:rPr>
              <w:t xml:space="preserve">The </w:t>
            </w:r>
            <w:r w:rsidR="000C17E2" w:rsidRPr="000C17E2">
              <w:rPr>
                <w:rFonts w:cstheme="minorHAnsi"/>
              </w:rPr>
              <w:t>Medicare Enrollment Database (EDB)</w:t>
            </w:r>
            <w:r>
              <w:rPr>
                <w:rFonts w:cstheme="minorHAnsi"/>
              </w:rPr>
              <w:t xml:space="preserve"> </w:t>
            </w:r>
            <w:r w:rsidR="003F1388">
              <w:rPr>
                <w:rFonts w:cstheme="minorHAnsi"/>
              </w:rPr>
              <w:t xml:space="preserve">was used </w:t>
            </w:r>
            <w:r w:rsidR="000C17E2" w:rsidRPr="000C17E2">
              <w:rPr>
                <w:rFonts w:cstheme="minorHAnsi"/>
              </w:rPr>
              <w:t xml:space="preserve">to assess </w:t>
            </w:r>
            <w:r w:rsidR="00C537C7">
              <w:rPr>
                <w:rFonts w:cstheme="minorHAnsi"/>
              </w:rPr>
              <w:t xml:space="preserve">Medicare Fee for Service (FFS) enrollment and </w:t>
            </w:r>
            <w:r w:rsidR="000C17E2" w:rsidRPr="000C17E2">
              <w:rPr>
                <w:rFonts w:cstheme="minorHAnsi"/>
              </w:rPr>
              <w:t>race</w:t>
            </w:r>
            <w:r w:rsidR="00C537C7">
              <w:rPr>
                <w:rFonts w:cstheme="minorHAnsi"/>
              </w:rPr>
              <w:t xml:space="preserve">. The Master Beneficiary Summary File (MBSF) was used to determine </w:t>
            </w:r>
            <w:r w:rsidR="000C17E2" w:rsidRPr="000C17E2">
              <w:rPr>
                <w:rFonts w:cstheme="minorHAnsi"/>
              </w:rPr>
              <w:t>dual eligibility</w:t>
            </w:r>
            <w:r w:rsidR="00C537C7">
              <w:rPr>
                <w:rFonts w:cstheme="minorHAnsi"/>
              </w:rPr>
              <w:t xml:space="preserve"> status.</w:t>
            </w:r>
            <w:r w:rsidR="003F1388">
              <w:rPr>
                <w:rFonts w:cstheme="minorHAnsi"/>
              </w:rPr>
              <w:t xml:space="preserve"> </w:t>
            </w:r>
            <w:r w:rsidR="00C537C7">
              <w:rPr>
                <w:rFonts w:cstheme="minorHAnsi"/>
              </w:rPr>
              <w:t>T</w:t>
            </w:r>
            <w:r w:rsidR="003F1388">
              <w:rPr>
                <w:rFonts w:cstheme="minorHAnsi"/>
              </w:rPr>
              <w:t>he</w:t>
            </w:r>
            <w:r w:rsidR="000C17E2" w:rsidRPr="000C17E2">
              <w:rPr>
                <w:rFonts w:cstheme="minorHAnsi"/>
              </w:rPr>
              <w:t xml:space="preserve"> Agency for Healthcare Research and Quality </w:t>
            </w:r>
            <w:r w:rsidR="00C910D0">
              <w:rPr>
                <w:rFonts w:cstheme="minorHAnsi"/>
              </w:rPr>
              <w:t>(</w:t>
            </w:r>
            <w:r w:rsidR="000C17E2" w:rsidRPr="000C17E2">
              <w:rPr>
                <w:rFonts w:cstheme="minorHAnsi"/>
              </w:rPr>
              <w:t>AHRQ</w:t>
            </w:r>
            <w:r w:rsidR="00C910D0">
              <w:rPr>
                <w:rFonts w:cstheme="minorHAnsi"/>
              </w:rPr>
              <w:t>)</w:t>
            </w:r>
            <w:r w:rsidR="000C17E2" w:rsidRPr="000C17E2">
              <w:rPr>
                <w:rFonts w:cstheme="minorHAnsi"/>
              </w:rPr>
              <w:t xml:space="preserve"> socioeconomic status </w:t>
            </w:r>
            <w:r w:rsidR="00C910D0">
              <w:rPr>
                <w:rFonts w:cstheme="minorHAnsi"/>
              </w:rPr>
              <w:t>(</w:t>
            </w:r>
            <w:r w:rsidR="000C17E2" w:rsidRPr="000C17E2">
              <w:rPr>
                <w:rFonts w:cstheme="minorHAnsi"/>
              </w:rPr>
              <w:t>SES</w:t>
            </w:r>
            <w:r w:rsidR="00C910D0">
              <w:rPr>
                <w:rFonts w:cstheme="minorHAnsi"/>
              </w:rPr>
              <w:t>)</w:t>
            </w:r>
            <w:r w:rsidR="000C17E2" w:rsidRPr="000C17E2">
              <w:rPr>
                <w:rFonts w:cstheme="minorHAnsi"/>
              </w:rPr>
              <w:t xml:space="preserve"> index score </w:t>
            </w:r>
            <w:r w:rsidR="003F1388">
              <w:rPr>
                <w:rFonts w:cstheme="minorHAnsi"/>
              </w:rPr>
              <w:t xml:space="preserve">was </w:t>
            </w:r>
            <w:r w:rsidR="000C0673">
              <w:rPr>
                <w:rFonts w:cstheme="minorHAnsi"/>
              </w:rPr>
              <w:t xml:space="preserve">derived from </w:t>
            </w:r>
            <w:r w:rsidR="00F72320">
              <w:rPr>
                <w:rFonts w:cstheme="minorHAnsi"/>
              </w:rPr>
              <w:t>American Community Survey</w:t>
            </w:r>
            <w:r w:rsidR="000C17E2" w:rsidRPr="000C17E2">
              <w:rPr>
                <w:rFonts w:cstheme="minorHAnsi"/>
              </w:rPr>
              <w:t xml:space="preserve"> data. </w:t>
            </w:r>
          </w:p>
          <w:p w14:paraId="4CDF5170" w14:textId="77777777" w:rsidR="00394224" w:rsidRDefault="00394224" w:rsidP="00DB3627">
            <w:pPr>
              <w:autoSpaceDE w:val="0"/>
              <w:autoSpaceDN w:val="0"/>
              <w:adjustRightInd w:val="0"/>
              <w:rPr>
                <w:rFonts w:cstheme="minorHAnsi"/>
                <w:b/>
              </w:rPr>
            </w:pPr>
          </w:p>
          <w:p w14:paraId="7DBAB22F" w14:textId="20E9005D" w:rsidR="009144BE" w:rsidRDefault="00B2221E" w:rsidP="00846508">
            <w:pPr>
              <w:tabs>
                <w:tab w:val="left" w:pos="1073"/>
              </w:tabs>
              <w:autoSpaceDE w:val="0"/>
              <w:autoSpaceDN w:val="0"/>
              <w:adjustRightInd w:val="0"/>
              <w:rPr>
                <w:rFonts w:cstheme="minorHAnsi"/>
                <w:bCs/>
              </w:rPr>
            </w:pPr>
            <w:r>
              <w:rPr>
                <w:rFonts w:cstheme="minorHAnsi"/>
                <w:bCs/>
              </w:rPr>
              <w:lastRenderedPageBreak/>
              <w:t>D</w:t>
            </w:r>
            <w:r w:rsidR="00846508">
              <w:rPr>
                <w:rFonts w:cstheme="minorHAnsi"/>
                <w:bCs/>
              </w:rPr>
              <w:t>ata</w:t>
            </w:r>
            <w:r w:rsidR="00C910D0">
              <w:rPr>
                <w:rFonts w:cstheme="minorHAnsi"/>
                <w:bCs/>
              </w:rPr>
              <w:t xml:space="preserve"> </w:t>
            </w:r>
            <w:r>
              <w:rPr>
                <w:rFonts w:cstheme="minorHAnsi"/>
                <w:bCs/>
              </w:rPr>
              <w:t xml:space="preserve">from these data sources </w:t>
            </w:r>
            <w:r w:rsidR="00C910D0">
              <w:rPr>
                <w:rFonts w:cstheme="minorHAnsi"/>
                <w:bCs/>
              </w:rPr>
              <w:t xml:space="preserve">were linked </w:t>
            </w:r>
            <w:r>
              <w:rPr>
                <w:rFonts w:cstheme="minorHAnsi"/>
                <w:bCs/>
              </w:rPr>
              <w:t>for</w:t>
            </w:r>
            <w:r w:rsidR="0058506A">
              <w:rPr>
                <w:rFonts w:cstheme="minorHAnsi"/>
                <w:bCs/>
              </w:rPr>
              <w:t xml:space="preserve"> </w:t>
            </w:r>
            <w:r w:rsidR="00C910D0">
              <w:rPr>
                <w:rFonts w:cstheme="minorHAnsi"/>
                <w:bCs/>
              </w:rPr>
              <w:t>patients undergoing elective primary total hip arthroplasty (THA) and total knee arthroplasty (TKA) procedures from July 1, 2016 through June 30, 2017. P</w:t>
            </w:r>
            <w:r w:rsidR="00846508">
              <w:rPr>
                <w:rFonts w:cstheme="minorHAnsi"/>
                <w:bCs/>
              </w:rPr>
              <w:t xml:space="preserve">atients with complete </w:t>
            </w:r>
            <w:r w:rsidR="00C910D0">
              <w:rPr>
                <w:rFonts w:cstheme="minorHAnsi"/>
                <w:bCs/>
              </w:rPr>
              <w:t xml:space="preserve">preoperative and postoperative </w:t>
            </w:r>
            <w:r w:rsidR="00846508">
              <w:rPr>
                <w:rFonts w:cstheme="minorHAnsi"/>
                <w:bCs/>
              </w:rPr>
              <w:t xml:space="preserve">PRO </w:t>
            </w:r>
            <w:r w:rsidR="00C910D0">
              <w:rPr>
                <w:rFonts w:cstheme="minorHAnsi"/>
                <w:bCs/>
              </w:rPr>
              <w:t xml:space="preserve">and risk variable </w:t>
            </w:r>
            <w:r w:rsidR="00846508">
              <w:rPr>
                <w:rFonts w:cstheme="minorHAnsi"/>
                <w:bCs/>
              </w:rPr>
              <w:t>data</w:t>
            </w:r>
            <w:r w:rsidR="00C910D0">
              <w:rPr>
                <w:rFonts w:cstheme="minorHAnsi"/>
                <w:bCs/>
              </w:rPr>
              <w:t xml:space="preserve"> were included in the dataset used for development and testing of this measure</w:t>
            </w:r>
            <w:r w:rsidR="00846508">
              <w:rPr>
                <w:rFonts w:cstheme="minorHAnsi"/>
                <w:bCs/>
              </w:rPr>
              <w:t xml:space="preserve">. These data were randomly divided 60%/40% into a </w:t>
            </w:r>
            <w:r w:rsidR="00846508" w:rsidRPr="0082144F">
              <w:rPr>
                <w:rFonts w:cstheme="minorHAnsi"/>
                <w:b/>
                <w:bCs/>
              </w:rPr>
              <w:t>Development Dataset</w:t>
            </w:r>
            <w:r w:rsidR="00846508">
              <w:rPr>
                <w:rFonts w:cstheme="minorHAnsi"/>
                <w:bCs/>
              </w:rPr>
              <w:t xml:space="preserve"> and a </w:t>
            </w:r>
            <w:r w:rsidR="00846508" w:rsidRPr="0082144F">
              <w:rPr>
                <w:rFonts w:cstheme="minorHAnsi"/>
                <w:b/>
                <w:bCs/>
              </w:rPr>
              <w:t>Validation Dataset</w:t>
            </w:r>
            <w:r w:rsidR="00846508">
              <w:rPr>
                <w:rFonts w:cstheme="minorHAnsi"/>
                <w:bCs/>
              </w:rPr>
              <w:t>.</w:t>
            </w:r>
          </w:p>
          <w:p w14:paraId="1E22B149" w14:textId="77777777" w:rsidR="009144BE" w:rsidRDefault="009144BE" w:rsidP="00846508">
            <w:pPr>
              <w:tabs>
                <w:tab w:val="left" w:pos="1073"/>
              </w:tabs>
              <w:autoSpaceDE w:val="0"/>
              <w:autoSpaceDN w:val="0"/>
              <w:adjustRightInd w:val="0"/>
              <w:rPr>
                <w:rFonts w:cstheme="minorHAnsi"/>
                <w:bCs/>
              </w:rPr>
            </w:pPr>
          </w:p>
          <w:p w14:paraId="33F80214" w14:textId="342B4D80" w:rsidR="009144BE" w:rsidRDefault="009144BE" w:rsidP="00846508">
            <w:pPr>
              <w:tabs>
                <w:tab w:val="left" w:pos="1073"/>
              </w:tabs>
              <w:autoSpaceDE w:val="0"/>
              <w:autoSpaceDN w:val="0"/>
              <w:adjustRightInd w:val="0"/>
              <w:rPr>
                <w:rFonts w:cstheme="minorHAnsi"/>
                <w:bCs/>
              </w:rPr>
            </w:pPr>
            <w:r>
              <w:rPr>
                <w:rFonts w:cstheme="minorHAnsi"/>
                <w:bCs/>
              </w:rPr>
              <w:t>PRO data used for testing were collected consistent with PRO-PM measure specifications (PRO surveys, risk variable data elements and timing of preoperative and postoperative data collection were aligned).</w:t>
            </w:r>
          </w:p>
          <w:p w14:paraId="7E90E998" w14:textId="77777777" w:rsidR="00846508" w:rsidRDefault="00846508" w:rsidP="00DB3627">
            <w:pPr>
              <w:autoSpaceDE w:val="0"/>
              <w:autoSpaceDN w:val="0"/>
              <w:adjustRightInd w:val="0"/>
              <w:rPr>
                <w:rFonts w:cstheme="minorHAnsi"/>
                <w:b/>
              </w:rPr>
            </w:pPr>
          </w:p>
        </w:tc>
      </w:tr>
    </w:tbl>
    <w:p w14:paraId="0CABCFAF" w14:textId="77777777" w:rsidR="009E1846" w:rsidRDefault="009E1846" w:rsidP="00DB3627">
      <w:pPr>
        <w:autoSpaceDE w:val="0"/>
        <w:autoSpaceDN w:val="0"/>
        <w:adjustRightInd w:val="0"/>
        <w:spacing w:after="0" w:line="240" w:lineRule="auto"/>
        <w:rPr>
          <w:rFonts w:cstheme="minorHAnsi"/>
          <w:b/>
        </w:rPr>
      </w:pPr>
    </w:p>
    <w:p w14:paraId="0CABCFB0" w14:textId="248B850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tbl>
      <w:tblPr>
        <w:tblStyle w:val="TableGrid"/>
        <w:tblW w:w="0" w:type="auto"/>
        <w:tblLook w:val="04A0" w:firstRow="1" w:lastRow="0" w:firstColumn="1" w:lastColumn="0" w:noHBand="0" w:noVBand="1"/>
      </w:tblPr>
      <w:tblGrid>
        <w:gridCol w:w="9350"/>
      </w:tblGrid>
      <w:tr w:rsidR="00394224" w14:paraId="40BB71BB" w14:textId="77777777" w:rsidTr="00394224">
        <w:tc>
          <w:tcPr>
            <w:tcW w:w="9350" w:type="dxa"/>
          </w:tcPr>
          <w:p w14:paraId="20B7A82C" w14:textId="721B8B12" w:rsidR="00394224" w:rsidRDefault="00E00A21" w:rsidP="003F1388">
            <w:pPr>
              <w:autoSpaceDE w:val="0"/>
              <w:autoSpaceDN w:val="0"/>
              <w:adjustRightInd w:val="0"/>
              <w:rPr>
                <w:rFonts w:cstheme="minorHAnsi"/>
                <w:bCs/>
              </w:rPr>
            </w:pPr>
            <w:r>
              <w:rPr>
                <w:rFonts w:cstheme="minorHAnsi"/>
                <w:bCs/>
              </w:rPr>
              <w:t>Th</w:t>
            </w:r>
            <w:r w:rsidR="003F1388">
              <w:rPr>
                <w:rFonts w:cstheme="minorHAnsi"/>
                <w:bCs/>
              </w:rPr>
              <w:t xml:space="preserve">is </w:t>
            </w:r>
            <w:r w:rsidR="00C910D0">
              <w:rPr>
                <w:rFonts w:cstheme="minorHAnsi"/>
                <w:bCs/>
              </w:rPr>
              <w:t>patient-reported outcome-based performance measure (</w:t>
            </w:r>
            <w:r w:rsidR="003F1388">
              <w:rPr>
                <w:rFonts w:cstheme="minorHAnsi"/>
                <w:bCs/>
              </w:rPr>
              <w:t>PRO-PM</w:t>
            </w:r>
            <w:r w:rsidR="00C910D0">
              <w:rPr>
                <w:rFonts w:cstheme="minorHAnsi"/>
                <w:bCs/>
              </w:rPr>
              <w:t>)</w:t>
            </w:r>
            <w:r>
              <w:rPr>
                <w:rFonts w:cstheme="minorHAnsi"/>
                <w:bCs/>
              </w:rPr>
              <w:t xml:space="preserve"> was tested on eligible procedures </w:t>
            </w:r>
            <w:r w:rsidR="00183B1C">
              <w:rPr>
                <w:rFonts w:cstheme="minorHAnsi"/>
                <w:bCs/>
              </w:rPr>
              <w:t>performed</w:t>
            </w:r>
            <w:r>
              <w:rPr>
                <w:rFonts w:cstheme="minorHAnsi"/>
                <w:bCs/>
              </w:rPr>
              <w:t xml:space="preserve"> between July 1, 2016 and June 30, 2017. </w:t>
            </w:r>
            <w:r w:rsidR="009B71C5">
              <w:rPr>
                <w:rFonts w:cstheme="minorHAnsi"/>
                <w:bCs/>
              </w:rPr>
              <w:t xml:space="preserve"> </w:t>
            </w:r>
            <w:r w:rsidR="003F1388">
              <w:rPr>
                <w:rFonts w:cstheme="minorHAnsi"/>
                <w:bCs/>
              </w:rPr>
              <w:t>PRO and risk variable data were collected for patients 90 – 0 days prior to surgery and 270 – 365 days following surgery. Medicare claims between July 1, 2016 and June 30, 2017 were used to identify THA/TKA procedure codes, and Medicare claims for the 12 months prior to the procedure were used to identify a patient’s comorbid conditions. The dates for Medicare Enrollment Database</w:t>
            </w:r>
            <w:r w:rsidR="00677248">
              <w:rPr>
                <w:rFonts w:cstheme="minorHAnsi"/>
                <w:bCs/>
              </w:rPr>
              <w:t>, Master Beneficiary Master File,</w:t>
            </w:r>
            <w:r w:rsidR="003F1388">
              <w:rPr>
                <w:rFonts w:cstheme="minorHAnsi"/>
                <w:bCs/>
              </w:rPr>
              <w:t xml:space="preserve"> and American Community Survey data to assess</w:t>
            </w:r>
            <w:r w:rsidR="00677248">
              <w:rPr>
                <w:rFonts w:cstheme="minorHAnsi"/>
                <w:bCs/>
              </w:rPr>
              <w:t xml:space="preserve"> Medicare FFS status,</w:t>
            </w:r>
            <w:r w:rsidR="003F1388">
              <w:rPr>
                <w:rFonts w:cstheme="minorHAnsi"/>
                <w:bCs/>
              </w:rPr>
              <w:t xml:space="preserve"> socioeconomic indicators and race </w:t>
            </w:r>
            <w:r w:rsidR="00677248">
              <w:rPr>
                <w:rFonts w:cstheme="minorHAnsi"/>
                <w:bCs/>
              </w:rPr>
              <w:t>for patients</w:t>
            </w:r>
            <w:r w:rsidR="00265476">
              <w:rPr>
                <w:rFonts w:cstheme="minorHAnsi"/>
                <w:bCs/>
              </w:rPr>
              <w:t xml:space="preserve"> were</w:t>
            </w:r>
            <w:r w:rsidR="00677248">
              <w:rPr>
                <w:rFonts w:cstheme="minorHAnsi"/>
                <w:bCs/>
              </w:rPr>
              <w:t xml:space="preserve"> </w:t>
            </w:r>
            <w:r w:rsidR="003F1388">
              <w:rPr>
                <w:rFonts w:cstheme="minorHAnsi"/>
                <w:bCs/>
              </w:rPr>
              <w:t>concurrent</w:t>
            </w:r>
            <w:r w:rsidR="00677248">
              <w:rPr>
                <w:rFonts w:cstheme="minorHAnsi"/>
                <w:bCs/>
              </w:rPr>
              <w:t xml:space="preserve"> with their</w:t>
            </w:r>
            <w:r w:rsidR="003F1388">
              <w:rPr>
                <w:rFonts w:cstheme="minorHAnsi"/>
                <w:bCs/>
              </w:rPr>
              <w:t xml:space="preserve"> procedure data.</w:t>
            </w:r>
          </w:p>
        </w:tc>
      </w:tr>
    </w:tbl>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362A175" w:rsidR="000414E8" w:rsidRPr="00A01494" w:rsidRDefault="00D7728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063AE0AE" w:rsidR="000414E8" w:rsidRPr="00A01494" w:rsidRDefault="00D7728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E7C4A34" w:rsidR="000414E8" w:rsidRPr="00A01494" w:rsidRDefault="00D7728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179717F6" w:rsidR="000414E8" w:rsidRPr="00A01494" w:rsidRDefault="00D7728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A478D71" w:rsidR="000414E8" w:rsidRPr="00A01494" w:rsidRDefault="00D7728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2C686705" w:rsidR="000414E8" w:rsidRPr="00A01494" w:rsidRDefault="00D7728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0C17E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2E396259" w:rsidR="000414E8" w:rsidRPr="00A01494" w:rsidRDefault="00D7728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46DA1DC" w:rsidR="000414E8" w:rsidRPr="00A01494" w:rsidRDefault="00D7728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55C94C00" w:rsidR="000414E8" w:rsidRPr="00A01494" w:rsidRDefault="00D7728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6FF9C62D" w:rsidR="000414E8" w:rsidRPr="00A01494" w:rsidRDefault="00D7728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tbl>
      <w:tblPr>
        <w:tblStyle w:val="TableGrid"/>
        <w:tblW w:w="0" w:type="auto"/>
        <w:tblLook w:val="04A0" w:firstRow="1" w:lastRow="0" w:firstColumn="1" w:lastColumn="0" w:noHBand="0" w:noVBand="1"/>
      </w:tblPr>
      <w:tblGrid>
        <w:gridCol w:w="9350"/>
      </w:tblGrid>
      <w:tr w:rsidR="00394224" w14:paraId="52C72366" w14:textId="77777777" w:rsidTr="00394224">
        <w:tc>
          <w:tcPr>
            <w:tcW w:w="9350" w:type="dxa"/>
          </w:tcPr>
          <w:p w14:paraId="7C48EF94" w14:textId="32482496" w:rsidR="009144BE" w:rsidRDefault="000C17E2" w:rsidP="000C17E2">
            <w:pPr>
              <w:autoSpaceDE w:val="0"/>
              <w:autoSpaceDN w:val="0"/>
              <w:adjustRightInd w:val="0"/>
              <w:rPr>
                <w:rFonts w:cstheme="minorHAnsi"/>
                <w:bCs/>
              </w:rPr>
            </w:pPr>
            <w:r w:rsidRPr="000C17E2">
              <w:rPr>
                <w:rFonts w:cstheme="minorHAnsi"/>
                <w:bCs/>
              </w:rPr>
              <w:t>For this measure,</w:t>
            </w:r>
            <w:r w:rsidR="002E0AAF">
              <w:rPr>
                <w:rFonts w:cstheme="minorHAnsi"/>
                <w:bCs/>
              </w:rPr>
              <w:t xml:space="preserve"> the measured entities are</w:t>
            </w:r>
            <w:r w:rsidRPr="000C17E2">
              <w:rPr>
                <w:rFonts w:cstheme="minorHAnsi"/>
                <w:bCs/>
              </w:rPr>
              <w:t xml:space="preserve"> non-federal, acute inpatient US hospitals (including territories) </w:t>
            </w:r>
            <w:r w:rsidR="002E0AAF">
              <w:rPr>
                <w:rFonts w:cstheme="minorHAnsi"/>
                <w:bCs/>
              </w:rPr>
              <w:t>serving</w:t>
            </w:r>
            <w:r w:rsidR="007F5478">
              <w:rPr>
                <w:rFonts w:cstheme="minorHAnsi"/>
                <w:bCs/>
              </w:rPr>
              <w:t xml:space="preserve"> Medicare FFS</w:t>
            </w:r>
            <w:r w:rsidRPr="000C17E2">
              <w:rPr>
                <w:rFonts w:cstheme="minorHAnsi"/>
                <w:bCs/>
              </w:rPr>
              <w:t xml:space="preserve"> beneficiaries aged 65 years and older</w:t>
            </w:r>
            <w:r w:rsidR="002E0AAF">
              <w:rPr>
                <w:rFonts w:cstheme="minorHAnsi"/>
                <w:bCs/>
              </w:rPr>
              <w:t>.</w:t>
            </w:r>
            <w:r w:rsidRPr="000C17E2">
              <w:rPr>
                <w:rFonts w:cstheme="minorHAnsi"/>
                <w:bCs/>
              </w:rPr>
              <w:t xml:space="preserve"> </w:t>
            </w:r>
            <w:r w:rsidR="006B7BA5">
              <w:rPr>
                <w:rFonts w:cstheme="minorHAnsi"/>
                <w:bCs/>
              </w:rPr>
              <w:t>Hospitals included in the development and testing of this PRO-PM were among those participating in CMMI’s CJR payment model. A total of 2</w:t>
            </w:r>
            <w:r w:rsidR="009144BE">
              <w:rPr>
                <w:rFonts w:cstheme="minorHAnsi"/>
                <w:bCs/>
              </w:rPr>
              <w:t>38</w:t>
            </w:r>
            <w:r w:rsidR="006B7BA5">
              <w:rPr>
                <w:rFonts w:cstheme="minorHAnsi"/>
                <w:bCs/>
              </w:rPr>
              <w:t xml:space="preserve"> hospitals submitted complete PRO and risk variable data for elective primary THA/TKA procedures performed between July 1, 2016 and June 30, 2017 and these data were used for development and testing of this measure. </w:t>
            </w:r>
          </w:p>
          <w:p w14:paraId="6CDCCD2B" w14:textId="77777777" w:rsidR="009144BE" w:rsidRDefault="009144BE" w:rsidP="000C17E2">
            <w:pPr>
              <w:autoSpaceDE w:val="0"/>
              <w:autoSpaceDN w:val="0"/>
              <w:adjustRightInd w:val="0"/>
              <w:rPr>
                <w:rFonts w:cstheme="minorHAnsi"/>
                <w:bCs/>
              </w:rPr>
            </w:pPr>
          </w:p>
          <w:p w14:paraId="3119C7F1" w14:textId="151BF6EE" w:rsidR="000C17E2" w:rsidRPr="000C17E2" w:rsidRDefault="000C17E2" w:rsidP="000C17E2">
            <w:pPr>
              <w:autoSpaceDE w:val="0"/>
              <w:autoSpaceDN w:val="0"/>
              <w:adjustRightInd w:val="0"/>
              <w:rPr>
                <w:rFonts w:cstheme="minorHAnsi"/>
                <w:bCs/>
              </w:rPr>
            </w:pPr>
            <w:r w:rsidRPr="000C17E2">
              <w:rPr>
                <w:rFonts w:cstheme="minorHAnsi"/>
                <w:bCs/>
              </w:rPr>
              <w:t xml:space="preserve">The number of measured entities (hospitals) varies by testing type; see Section 1.7 for details. </w:t>
            </w:r>
          </w:p>
          <w:p w14:paraId="6EFBF3DC" w14:textId="77777777" w:rsidR="00394224" w:rsidRDefault="00394224" w:rsidP="00DB3627">
            <w:pPr>
              <w:autoSpaceDE w:val="0"/>
              <w:autoSpaceDN w:val="0"/>
              <w:adjustRightInd w:val="0"/>
              <w:rPr>
                <w:rFonts w:cstheme="minorHAnsi"/>
                <w:bCs/>
              </w:rPr>
            </w:pPr>
          </w:p>
        </w:tc>
      </w:tr>
    </w:tbl>
    <w:p w14:paraId="0CABCFC8" w14:textId="77777777" w:rsidR="002B5016" w:rsidRPr="00A25024" w:rsidRDefault="002B5016" w:rsidP="00DB3627">
      <w:pPr>
        <w:autoSpaceDE w:val="0"/>
        <w:autoSpaceDN w:val="0"/>
        <w:adjustRightInd w:val="0"/>
        <w:spacing w:after="0" w:line="240" w:lineRule="auto"/>
        <w:rPr>
          <w:rFonts w:cstheme="minorHAnsi"/>
          <w:bCs/>
        </w:rPr>
      </w:pPr>
    </w:p>
    <w:p w14:paraId="57AA8712" w14:textId="05845FB6" w:rsidR="00394224"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394224">
        <w:rPr>
          <w:rFonts w:cstheme="minorHAnsi"/>
          <w:bCs/>
        </w:rPr>
        <w:t xml:space="preserve">) </w:t>
      </w:r>
    </w:p>
    <w:tbl>
      <w:tblPr>
        <w:tblStyle w:val="TableGrid"/>
        <w:tblW w:w="0" w:type="auto"/>
        <w:tblLook w:val="04A0" w:firstRow="1" w:lastRow="0" w:firstColumn="1" w:lastColumn="0" w:noHBand="0" w:noVBand="1"/>
      </w:tblPr>
      <w:tblGrid>
        <w:gridCol w:w="9350"/>
      </w:tblGrid>
      <w:tr w:rsidR="00394224" w14:paraId="34EC9552" w14:textId="77777777" w:rsidTr="00062A58">
        <w:tc>
          <w:tcPr>
            <w:tcW w:w="9350" w:type="dxa"/>
          </w:tcPr>
          <w:p w14:paraId="440CAA43" w14:textId="6B33404A" w:rsidR="00394224" w:rsidRDefault="001677B7" w:rsidP="00062A58">
            <w:pPr>
              <w:autoSpaceDE w:val="0"/>
              <w:autoSpaceDN w:val="0"/>
              <w:adjustRightInd w:val="0"/>
              <w:rPr>
                <w:rFonts w:cstheme="minorHAnsi"/>
                <w:bCs/>
              </w:rPr>
            </w:pPr>
            <w:r>
              <w:rPr>
                <w:rFonts w:cstheme="minorHAnsi"/>
                <w:bCs/>
              </w:rPr>
              <w:t>The number of patients varies by testing type; see Section 1.7 for details.</w:t>
            </w:r>
          </w:p>
        </w:tc>
      </w:tr>
    </w:tbl>
    <w:p w14:paraId="0CABCFC9" w14:textId="76488887"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tbl>
      <w:tblPr>
        <w:tblStyle w:val="TableGrid"/>
        <w:tblW w:w="0" w:type="auto"/>
        <w:tblLook w:val="04A0" w:firstRow="1" w:lastRow="0" w:firstColumn="1" w:lastColumn="0" w:noHBand="0" w:noVBand="1"/>
      </w:tblPr>
      <w:tblGrid>
        <w:gridCol w:w="9350"/>
      </w:tblGrid>
      <w:tr w:rsidR="00394224" w14:paraId="1529B97C" w14:textId="77777777" w:rsidTr="00062A58">
        <w:tc>
          <w:tcPr>
            <w:tcW w:w="9350" w:type="dxa"/>
          </w:tcPr>
          <w:p w14:paraId="175B2C84" w14:textId="7A994A67" w:rsidR="001C5E78" w:rsidRDefault="001677B7" w:rsidP="00FC3F66">
            <w:pPr>
              <w:tabs>
                <w:tab w:val="left" w:pos="1073"/>
              </w:tabs>
              <w:autoSpaceDE w:val="0"/>
              <w:autoSpaceDN w:val="0"/>
              <w:adjustRightInd w:val="0"/>
              <w:rPr>
                <w:rFonts w:cstheme="minorHAnsi"/>
                <w:bCs/>
              </w:rPr>
            </w:pPr>
            <w:r>
              <w:rPr>
                <w:rFonts w:cstheme="minorHAnsi"/>
                <w:bCs/>
              </w:rPr>
              <w:t>The total dataset for measure development and testing included data from the 2</w:t>
            </w:r>
            <w:r w:rsidR="00A711E1">
              <w:rPr>
                <w:rFonts w:cstheme="minorHAnsi"/>
                <w:bCs/>
              </w:rPr>
              <w:t>38</w:t>
            </w:r>
            <w:r>
              <w:rPr>
                <w:rFonts w:cstheme="minorHAnsi"/>
                <w:bCs/>
              </w:rPr>
              <w:t xml:space="preserve"> CJR participant hospitals that submitted complete preoperative and postoperative PRO and risk variable data for at least one elective primary THA/TKA procedure.</w:t>
            </w:r>
            <w:r w:rsidR="00C224CA">
              <w:rPr>
                <w:rFonts w:cstheme="minorHAnsi"/>
                <w:bCs/>
              </w:rPr>
              <w:t xml:space="preserve"> Complete PRO and risk variable data was defined as the submission of preoperative patient-reported outcome measure (PROM) and risk variable data with no missing or out-of-range values for required data elements </w:t>
            </w:r>
            <w:r w:rsidR="00864427">
              <w:rPr>
                <w:rFonts w:cstheme="minorHAnsi"/>
                <w:bCs/>
              </w:rPr>
              <w:t xml:space="preserve">and </w:t>
            </w:r>
            <w:r w:rsidR="00C224CA">
              <w:rPr>
                <w:rFonts w:cstheme="minorHAnsi"/>
                <w:bCs/>
              </w:rPr>
              <w:t>that could be matched to postoperative PROM data with no missing or out-of-range values</w:t>
            </w:r>
            <w:r w:rsidR="00864427">
              <w:rPr>
                <w:rFonts w:cstheme="minorHAnsi"/>
                <w:bCs/>
              </w:rPr>
              <w:t>,</w:t>
            </w:r>
            <w:r w:rsidR="00C224CA">
              <w:rPr>
                <w:rFonts w:cstheme="minorHAnsi"/>
                <w:bCs/>
              </w:rPr>
              <w:t xml:space="preserve"> for an elective primary THA/TKA procedure identified in claims data for the measurement period. </w:t>
            </w:r>
            <w:r>
              <w:rPr>
                <w:rFonts w:cstheme="minorHAnsi"/>
                <w:bCs/>
              </w:rPr>
              <w:t>The number of patients with complete PRO data for an elective primary THA or TKA procedure (excluding patients with staged elective primary THA/TKA procedures</w:t>
            </w:r>
            <w:r w:rsidR="000C598B">
              <w:rPr>
                <w:rFonts w:cstheme="minorHAnsi"/>
                <w:bCs/>
              </w:rPr>
              <w:t xml:space="preserve"> during the measurement period</w:t>
            </w:r>
            <w:r>
              <w:rPr>
                <w:rFonts w:cstheme="minorHAnsi"/>
                <w:bCs/>
              </w:rPr>
              <w:t>, defined as two or more procedures performed during separate inpatient admissions) was 11,</w:t>
            </w:r>
            <w:r w:rsidR="00583C3B">
              <w:rPr>
                <w:rFonts w:cstheme="minorHAnsi"/>
                <w:bCs/>
              </w:rPr>
              <w:t>270</w:t>
            </w:r>
            <w:r>
              <w:rPr>
                <w:rFonts w:cstheme="minorHAnsi"/>
                <w:bCs/>
              </w:rPr>
              <w:t xml:space="preserve">. These data were randomly divided </w:t>
            </w:r>
            <w:r w:rsidR="001C5E78">
              <w:rPr>
                <w:rFonts w:cstheme="minorHAnsi"/>
                <w:bCs/>
              </w:rPr>
              <w:t xml:space="preserve">60%/40% </w:t>
            </w:r>
            <w:r>
              <w:rPr>
                <w:rFonts w:cstheme="minorHAnsi"/>
                <w:bCs/>
              </w:rPr>
              <w:t xml:space="preserve">into a </w:t>
            </w:r>
            <w:r w:rsidRPr="0082144F">
              <w:rPr>
                <w:rFonts w:cstheme="minorHAnsi"/>
                <w:b/>
                <w:bCs/>
              </w:rPr>
              <w:t>Development Dataset</w:t>
            </w:r>
            <w:r w:rsidR="001C5E78">
              <w:rPr>
                <w:rFonts w:cstheme="minorHAnsi"/>
                <w:bCs/>
              </w:rPr>
              <w:t xml:space="preserve"> and a </w:t>
            </w:r>
            <w:r w:rsidR="00A711E1" w:rsidRPr="0082144F">
              <w:rPr>
                <w:rFonts w:cstheme="minorHAnsi"/>
                <w:b/>
                <w:bCs/>
              </w:rPr>
              <w:t>Validation Dataset</w:t>
            </w:r>
            <w:r w:rsidR="001C5E78">
              <w:rPr>
                <w:rFonts w:cstheme="minorHAnsi"/>
                <w:bCs/>
              </w:rPr>
              <w:t>.</w:t>
            </w:r>
          </w:p>
          <w:p w14:paraId="1A84E524" w14:textId="77777777" w:rsidR="00FC3F66" w:rsidRDefault="00FC3F66" w:rsidP="00FC3F66">
            <w:pPr>
              <w:tabs>
                <w:tab w:val="left" w:pos="1073"/>
              </w:tabs>
              <w:autoSpaceDE w:val="0"/>
              <w:autoSpaceDN w:val="0"/>
              <w:adjustRightInd w:val="0"/>
              <w:rPr>
                <w:rFonts w:cstheme="minorHAnsi"/>
                <w:bCs/>
              </w:rPr>
            </w:pPr>
          </w:p>
          <w:p w14:paraId="3D9E9BFB" w14:textId="45E9604B" w:rsidR="001C5E78" w:rsidRDefault="001C5E78" w:rsidP="00FC3F66">
            <w:pPr>
              <w:tabs>
                <w:tab w:val="left" w:pos="1073"/>
              </w:tabs>
              <w:autoSpaceDE w:val="0"/>
              <w:autoSpaceDN w:val="0"/>
              <w:adjustRightInd w:val="0"/>
              <w:rPr>
                <w:rFonts w:cstheme="minorHAnsi"/>
                <w:bCs/>
              </w:rPr>
            </w:pPr>
            <w:r w:rsidRPr="00FC3F66">
              <w:rPr>
                <w:rFonts w:cstheme="minorHAnsi"/>
                <w:b/>
                <w:bCs/>
              </w:rPr>
              <w:t>Development Dataset</w:t>
            </w:r>
            <w:r>
              <w:rPr>
                <w:rFonts w:cstheme="minorHAnsi"/>
                <w:bCs/>
              </w:rPr>
              <w:t>:</w:t>
            </w:r>
            <w:r w:rsidR="00DD6D8C">
              <w:rPr>
                <w:rFonts w:cstheme="minorHAnsi"/>
                <w:bCs/>
              </w:rPr>
              <w:t xml:space="preserve"> This dataset includes 230</w:t>
            </w:r>
            <w:r w:rsidR="00856957">
              <w:rPr>
                <w:rFonts w:cstheme="minorHAnsi"/>
                <w:bCs/>
              </w:rPr>
              <w:t xml:space="preserve"> hospitals and </w:t>
            </w:r>
            <w:r w:rsidR="00DD6D8C">
              <w:rPr>
                <w:rFonts w:cstheme="minorHAnsi"/>
                <w:bCs/>
              </w:rPr>
              <w:t>6,734</w:t>
            </w:r>
            <w:r w:rsidR="00856957">
              <w:rPr>
                <w:rFonts w:cstheme="minorHAnsi"/>
                <w:bCs/>
              </w:rPr>
              <w:t xml:space="preserve"> patients.</w:t>
            </w:r>
            <w:r w:rsidR="000C598B">
              <w:rPr>
                <w:rFonts w:cstheme="minorHAnsi"/>
                <w:bCs/>
              </w:rPr>
              <w:t xml:space="preserve"> Of these patients, 2,2</w:t>
            </w:r>
            <w:r w:rsidR="00DD6D8C">
              <w:rPr>
                <w:rFonts w:cstheme="minorHAnsi"/>
                <w:bCs/>
              </w:rPr>
              <w:t>52</w:t>
            </w:r>
            <w:r w:rsidR="000C598B">
              <w:rPr>
                <w:rFonts w:cstheme="minorHAnsi"/>
                <w:bCs/>
              </w:rPr>
              <w:t xml:space="preserve"> had a THA procedure and 4,</w:t>
            </w:r>
            <w:r w:rsidR="00DD6D8C">
              <w:rPr>
                <w:rFonts w:cstheme="minorHAnsi"/>
                <w:bCs/>
              </w:rPr>
              <w:t>482</w:t>
            </w:r>
            <w:r w:rsidR="000C598B">
              <w:rPr>
                <w:rFonts w:cstheme="minorHAnsi"/>
                <w:bCs/>
              </w:rPr>
              <w:t xml:space="preserve"> had a TKA procedure. </w:t>
            </w:r>
            <w:r w:rsidR="00925D4C">
              <w:rPr>
                <w:rFonts w:cstheme="minorHAnsi"/>
                <w:bCs/>
              </w:rPr>
              <w:t>C</w:t>
            </w:r>
            <w:r w:rsidR="000C598B">
              <w:rPr>
                <w:rFonts w:cstheme="minorHAnsi"/>
                <w:bCs/>
              </w:rPr>
              <w:t xml:space="preserve">haracteristics of the </w:t>
            </w:r>
            <w:r w:rsidR="00DD6D8C">
              <w:rPr>
                <w:rFonts w:cstheme="minorHAnsi"/>
                <w:bCs/>
              </w:rPr>
              <w:t>230</w:t>
            </w:r>
            <w:r w:rsidR="000C598B">
              <w:rPr>
                <w:rFonts w:cstheme="minorHAnsi"/>
                <w:bCs/>
              </w:rPr>
              <w:t xml:space="preserve"> hospitals from which these data were submitted</w:t>
            </w:r>
            <w:r w:rsidR="00925D4C">
              <w:rPr>
                <w:rFonts w:cstheme="minorHAnsi"/>
                <w:bCs/>
              </w:rPr>
              <w:t xml:space="preserve"> are presented in Table 1.</w:t>
            </w:r>
            <w:r w:rsidR="000C598B">
              <w:rPr>
                <w:rFonts w:cstheme="minorHAnsi"/>
                <w:bCs/>
              </w:rPr>
              <w:t xml:space="preserve"> </w:t>
            </w:r>
            <w:r w:rsidR="00925D4C">
              <w:rPr>
                <w:rFonts w:cstheme="minorHAnsi"/>
                <w:bCs/>
              </w:rPr>
              <w:t>C</w:t>
            </w:r>
            <w:r w:rsidR="000C598B">
              <w:rPr>
                <w:rFonts w:cstheme="minorHAnsi"/>
                <w:bCs/>
              </w:rPr>
              <w:t>haracteristics of the 6,7</w:t>
            </w:r>
            <w:r w:rsidR="00DD6D8C">
              <w:rPr>
                <w:rFonts w:cstheme="minorHAnsi"/>
                <w:bCs/>
              </w:rPr>
              <w:t>34</w:t>
            </w:r>
            <w:r w:rsidR="000C598B">
              <w:rPr>
                <w:rFonts w:cstheme="minorHAnsi"/>
                <w:bCs/>
              </w:rPr>
              <w:t xml:space="preserve"> patients in the dataset</w:t>
            </w:r>
            <w:r w:rsidR="00925D4C">
              <w:rPr>
                <w:rFonts w:cstheme="minorHAnsi"/>
                <w:bCs/>
              </w:rPr>
              <w:t xml:space="preserve"> are presented in Table 2</w:t>
            </w:r>
            <w:r w:rsidR="000C598B">
              <w:rPr>
                <w:rFonts w:cstheme="minorHAnsi"/>
                <w:bCs/>
              </w:rPr>
              <w:t>.</w:t>
            </w:r>
          </w:p>
          <w:p w14:paraId="77574880" w14:textId="77777777" w:rsidR="00FC3F66" w:rsidRDefault="00FC3F66" w:rsidP="00FC3F66">
            <w:pPr>
              <w:tabs>
                <w:tab w:val="left" w:pos="1073"/>
              </w:tabs>
              <w:autoSpaceDE w:val="0"/>
              <w:autoSpaceDN w:val="0"/>
              <w:adjustRightInd w:val="0"/>
              <w:rPr>
                <w:rFonts w:cstheme="minorHAnsi"/>
                <w:bCs/>
              </w:rPr>
            </w:pPr>
          </w:p>
          <w:p w14:paraId="75C7B7AD" w14:textId="794FBF33" w:rsidR="000C598B" w:rsidRDefault="00A711E1" w:rsidP="00FC3F66">
            <w:pPr>
              <w:tabs>
                <w:tab w:val="left" w:pos="1073"/>
              </w:tabs>
              <w:autoSpaceDE w:val="0"/>
              <w:autoSpaceDN w:val="0"/>
              <w:adjustRightInd w:val="0"/>
              <w:rPr>
                <w:rFonts w:cstheme="minorHAnsi"/>
                <w:bCs/>
              </w:rPr>
            </w:pPr>
            <w:r w:rsidRPr="00FC3F66">
              <w:rPr>
                <w:rFonts w:cstheme="minorHAnsi"/>
                <w:b/>
                <w:bCs/>
              </w:rPr>
              <w:t>Validation Dataset</w:t>
            </w:r>
            <w:r w:rsidR="001C5E78">
              <w:rPr>
                <w:rFonts w:cstheme="minorHAnsi"/>
                <w:bCs/>
              </w:rPr>
              <w:t>:</w:t>
            </w:r>
            <w:r w:rsidR="00DD6D8C">
              <w:rPr>
                <w:rFonts w:cstheme="minorHAnsi"/>
                <w:bCs/>
              </w:rPr>
              <w:t xml:space="preserve"> This dataset includes 219</w:t>
            </w:r>
            <w:r w:rsidR="00856957">
              <w:rPr>
                <w:rFonts w:cstheme="minorHAnsi"/>
                <w:bCs/>
              </w:rPr>
              <w:t xml:space="preserve"> hospitals</w:t>
            </w:r>
            <w:r w:rsidR="00E6288F">
              <w:rPr>
                <w:rFonts w:cstheme="minorHAnsi"/>
                <w:bCs/>
              </w:rPr>
              <w:t xml:space="preserve"> </w:t>
            </w:r>
            <w:r w:rsidR="00856957">
              <w:rPr>
                <w:rFonts w:cstheme="minorHAnsi"/>
                <w:bCs/>
              </w:rPr>
              <w:t xml:space="preserve">and </w:t>
            </w:r>
            <w:r w:rsidR="002228E1">
              <w:rPr>
                <w:rFonts w:cstheme="minorHAnsi"/>
                <w:bCs/>
              </w:rPr>
              <w:t>4536</w:t>
            </w:r>
            <w:r w:rsidR="00856957">
              <w:rPr>
                <w:rFonts w:cstheme="minorHAnsi"/>
                <w:bCs/>
              </w:rPr>
              <w:t xml:space="preserve"> patients.</w:t>
            </w:r>
            <w:r w:rsidR="002228E1">
              <w:rPr>
                <w:rFonts w:cstheme="minorHAnsi"/>
                <w:bCs/>
              </w:rPr>
              <w:t xml:space="preserve"> Of these patients, 1,530 had a THA procedure and 3</w:t>
            </w:r>
            <w:r w:rsidR="00BA1A08">
              <w:rPr>
                <w:rFonts w:cstheme="minorHAnsi"/>
                <w:bCs/>
              </w:rPr>
              <w:t>,</w:t>
            </w:r>
            <w:r w:rsidR="002228E1">
              <w:rPr>
                <w:rFonts w:cstheme="minorHAnsi"/>
                <w:bCs/>
              </w:rPr>
              <w:t>006</w:t>
            </w:r>
            <w:r w:rsidR="00856957">
              <w:rPr>
                <w:rFonts w:cstheme="minorHAnsi"/>
                <w:bCs/>
              </w:rPr>
              <w:t xml:space="preserve"> had a TKA procedure.</w:t>
            </w:r>
            <w:r w:rsidR="000C598B">
              <w:rPr>
                <w:rFonts w:cstheme="minorHAnsi"/>
                <w:bCs/>
              </w:rPr>
              <w:t xml:space="preserve"> </w:t>
            </w:r>
            <w:r w:rsidR="00925D4C">
              <w:rPr>
                <w:rFonts w:cstheme="minorHAnsi"/>
                <w:bCs/>
              </w:rPr>
              <w:t>C</w:t>
            </w:r>
            <w:r w:rsidR="002228E1">
              <w:rPr>
                <w:rFonts w:cstheme="minorHAnsi"/>
                <w:bCs/>
              </w:rPr>
              <w:t>haracteristics of the 219</w:t>
            </w:r>
            <w:r w:rsidR="000C598B">
              <w:rPr>
                <w:rFonts w:cstheme="minorHAnsi"/>
                <w:bCs/>
              </w:rPr>
              <w:t xml:space="preserve"> hospitals from which these data were submitted</w:t>
            </w:r>
            <w:r w:rsidR="00925D4C">
              <w:rPr>
                <w:rFonts w:cstheme="minorHAnsi"/>
                <w:bCs/>
              </w:rPr>
              <w:t xml:space="preserve"> are presented in Table 1.</w:t>
            </w:r>
            <w:r w:rsidR="000C598B">
              <w:rPr>
                <w:rFonts w:cstheme="minorHAnsi"/>
                <w:bCs/>
              </w:rPr>
              <w:t xml:space="preserve"> </w:t>
            </w:r>
            <w:r w:rsidR="00925D4C">
              <w:rPr>
                <w:rFonts w:cstheme="minorHAnsi"/>
                <w:bCs/>
              </w:rPr>
              <w:t>C</w:t>
            </w:r>
            <w:r w:rsidR="002228E1">
              <w:rPr>
                <w:rFonts w:cstheme="minorHAnsi"/>
                <w:bCs/>
              </w:rPr>
              <w:t>haracteristics of the 4,536</w:t>
            </w:r>
            <w:r w:rsidR="000C598B">
              <w:rPr>
                <w:rFonts w:cstheme="minorHAnsi"/>
                <w:bCs/>
              </w:rPr>
              <w:t xml:space="preserve"> patients in the dataset</w:t>
            </w:r>
            <w:r w:rsidR="00925D4C">
              <w:rPr>
                <w:rFonts w:cstheme="minorHAnsi"/>
                <w:bCs/>
              </w:rPr>
              <w:t xml:space="preserve"> are presented in Table 2</w:t>
            </w:r>
            <w:r w:rsidR="00FC3F66">
              <w:rPr>
                <w:rFonts w:cstheme="minorHAnsi"/>
                <w:bCs/>
              </w:rPr>
              <w:t>.</w:t>
            </w:r>
          </w:p>
          <w:p w14:paraId="6A856011" w14:textId="77777777" w:rsidR="00FC3F66" w:rsidRDefault="00FC3F66" w:rsidP="00FC3F66">
            <w:pPr>
              <w:tabs>
                <w:tab w:val="left" w:pos="1073"/>
              </w:tabs>
              <w:autoSpaceDE w:val="0"/>
              <w:autoSpaceDN w:val="0"/>
              <w:adjustRightInd w:val="0"/>
              <w:rPr>
                <w:rFonts w:cstheme="minorHAnsi"/>
                <w:bCs/>
              </w:rPr>
            </w:pPr>
          </w:p>
          <w:p w14:paraId="46786E3B" w14:textId="15F629B7" w:rsidR="0032341C" w:rsidRDefault="00215234" w:rsidP="00ED1277">
            <w:pPr>
              <w:tabs>
                <w:tab w:val="left" w:pos="1073"/>
              </w:tabs>
              <w:autoSpaceDE w:val="0"/>
              <w:autoSpaceDN w:val="0"/>
              <w:adjustRightInd w:val="0"/>
              <w:rPr>
                <w:rFonts w:cstheme="minorHAnsi"/>
                <w:bCs/>
              </w:rPr>
            </w:pPr>
            <w:r>
              <w:rPr>
                <w:rFonts w:cstheme="minorHAnsi"/>
                <w:b/>
                <w:bCs/>
              </w:rPr>
              <w:t xml:space="preserve">Combined Dataset (Hospitals </w:t>
            </w:r>
            <w:r w:rsidRPr="00A042AB">
              <w:rPr>
                <w:rFonts w:cstheme="minorHAnsi"/>
                <w:b/>
                <w:bCs/>
                <w:u w:val="single"/>
              </w:rPr>
              <w:t>&gt;</w:t>
            </w:r>
            <w:r>
              <w:rPr>
                <w:rFonts w:cstheme="minorHAnsi"/>
                <w:b/>
                <w:bCs/>
              </w:rPr>
              <w:t xml:space="preserve">25 </w:t>
            </w:r>
            <w:r w:rsidR="00ED1277">
              <w:rPr>
                <w:rFonts w:cstheme="minorHAnsi"/>
                <w:b/>
                <w:bCs/>
              </w:rPr>
              <w:t>Patients with PRO Data</w:t>
            </w:r>
            <w:r>
              <w:rPr>
                <w:rFonts w:cstheme="minorHAnsi"/>
                <w:b/>
                <w:bCs/>
              </w:rPr>
              <w:t>)</w:t>
            </w:r>
            <w:r w:rsidR="00315585">
              <w:rPr>
                <w:rFonts w:cstheme="minorHAnsi"/>
                <w:bCs/>
              </w:rPr>
              <w:t xml:space="preserve">: </w:t>
            </w:r>
            <w:r w:rsidR="008A7217">
              <w:rPr>
                <w:rFonts w:cstheme="minorHAnsi"/>
                <w:bCs/>
              </w:rPr>
              <w:t xml:space="preserve">This dataset includes </w:t>
            </w:r>
            <w:r w:rsidR="002228E1" w:rsidRPr="002228E1">
              <w:rPr>
                <w:rFonts w:cstheme="minorHAnsi"/>
                <w:bCs/>
              </w:rPr>
              <w:t xml:space="preserve">123 </w:t>
            </w:r>
            <w:r w:rsidR="0032341C" w:rsidRPr="002228E1">
              <w:rPr>
                <w:rFonts w:cstheme="minorHAnsi"/>
                <w:bCs/>
              </w:rPr>
              <w:t>h</w:t>
            </w:r>
            <w:r w:rsidR="0032341C">
              <w:rPr>
                <w:rFonts w:cstheme="minorHAnsi"/>
                <w:bCs/>
              </w:rPr>
              <w:t xml:space="preserve">ospitals </w:t>
            </w:r>
            <w:r w:rsidR="008A7217">
              <w:rPr>
                <w:rFonts w:cstheme="minorHAnsi"/>
                <w:bCs/>
              </w:rPr>
              <w:t xml:space="preserve">from the </w:t>
            </w:r>
            <w:r w:rsidR="008A7217" w:rsidRPr="00B66E1C">
              <w:rPr>
                <w:rFonts w:cstheme="minorHAnsi"/>
                <w:bCs/>
              </w:rPr>
              <w:t>total dataset</w:t>
            </w:r>
            <w:r w:rsidR="008A7217">
              <w:rPr>
                <w:rFonts w:cstheme="minorHAnsi"/>
                <w:bCs/>
              </w:rPr>
              <w:t xml:space="preserve"> </w:t>
            </w:r>
            <w:r w:rsidR="00ED1277">
              <w:rPr>
                <w:rFonts w:cstheme="minorHAnsi"/>
                <w:bCs/>
              </w:rPr>
              <w:t xml:space="preserve">with </w:t>
            </w:r>
            <w:r w:rsidR="0032341C">
              <w:rPr>
                <w:rFonts w:cstheme="minorHAnsi"/>
                <w:bCs/>
              </w:rPr>
              <w:t>at least 25 THA/TKA</w:t>
            </w:r>
            <w:r w:rsidR="00ED1277">
              <w:rPr>
                <w:rFonts w:cstheme="minorHAnsi"/>
                <w:bCs/>
              </w:rPr>
              <w:t xml:space="preserve"> patients with PRO data</w:t>
            </w:r>
            <w:r w:rsidR="0032341C">
              <w:rPr>
                <w:rFonts w:cstheme="minorHAnsi"/>
                <w:bCs/>
              </w:rPr>
              <w:t xml:space="preserve"> during the measurement period</w:t>
            </w:r>
            <w:r w:rsidR="00B66E1C">
              <w:rPr>
                <w:rFonts w:cstheme="minorHAnsi"/>
                <w:bCs/>
              </w:rPr>
              <w:t xml:space="preserve">. </w:t>
            </w:r>
            <w:r w:rsidR="00BD6900">
              <w:rPr>
                <w:rFonts w:cstheme="minorHAnsi"/>
                <w:bCs/>
              </w:rPr>
              <w:t>(</w:t>
            </w:r>
            <w:r w:rsidR="00864427">
              <w:rPr>
                <w:rFonts w:cstheme="minorHAnsi"/>
                <w:bCs/>
              </w:rPr>
              <w:t xml:space="preserve">A </w:t>
            </w:r>
            <w:r w:rsidR="00BD6900">
              <w:rPr>
                <w:rFonts w:cstheme="minorHAnsi"/>
                <w:bCs/>
              </w:rPr>
              <w:t xml:space="preserve">case-volume cut-off </w:t>
            </w:r>
            <w:r w:rsidR="00864427">
              <w:rPr>
                <w:rFonts w:cstheme="minorHAnsi"/>
                <w:bCs/>
              </w:rPr>
              <w:t>of 25 was selected as it provided high measure result reliability and was consistent with volume thresholds used for public reporting of claims-based measures with which this measure was intentionally harmonized; we therefore recommend this measure be reported using a minimum case-volume cut-off of 25 or greater.</w:t>
            </w:r>
            <w:r w:rsidR="00352DBA">
              <w:rPr>
                <w:rFonts w:cstheme="minorHAnsi"/>
                <w:bCs/>
              </w:rPr>
              <w:t>)</w:t>
            </w:r>
            <w:r w:rsidR="009468FD">
              <w:rPr>
                <w:rFonts w:cstheme="minorHAnsi"/>
                <w:bCs/>
              </w:rPr>
              <w:t xml:space="preserve"> </w:t>
            </w:r>
            <w:r w:rsidR="000C598B">
              <w:rPr>
                <w:rFonts w:cstheme="minorHAnsi"/>
                <w:bCs/>
              </w:rPr>
              <w:t>Table 1 identifies the characteristics of the 123 hospitals</w:t>
            </w:r>
            <w:r w:rsidR="003A2309">
              <w:rPr>
                <w:rFonts w:cstheme="minorHAnsi"/>
                <w:bCs/>
              </w:rPr>
              <w:t>. These data were used</w:t>
            </w:r>
            <w:r w:rsidR="000C598B">
              <w:rPr>
                <w:rFonts w:cstheme="minorHAnsi"/>
                <w:bCs/>
              </w:rPr>
              <w:t xml:space="preserve"> for </w:t>
            </w:r>
            <w:r w:rsidR="000C598B" w:rsidRPr="004D2CE5">
              <w:rPr>
                <w:rFonts w:cstheme="minorHAnsi"/>
                <w:bCs/>
              </w:rPr>
              <w:t>reliability and validity testing</w:t>
            </w:r>
            <w:r w:rsidR="003A2309">
              <w:rPr>
                <w:rFonts w:cstheme="minorHAnsi"/>
                <w:bCs/>
              </w:rPr>
              <w:t>, and for response-bias analyses.</w:t>
            </w:r>
          </w:p>
        </w:tc>
      </w:tr>
    </w:tbl>
    <w:p w14:paraId="0CABCFCB" w14:textId="77777777" w:rsidR="00E37E1B" w:rsidRDefault="00E37E1B" w:rsidP="00E37E1B">
      <w:pPr>
        <w:autoSpaceDE w:val="0"/>
        <w:autoSpaceDN w:val="0"/>
        <w:adjustRightInd w:val="0"/>
        <w:spacing w:after="0" w:line="240" w:lineRule="auto"/>
        <w:rPr>
          <w:rFonts w:cstheme="minorHAnsi"/>
          <w:bCs/>
        </w:rPr>
      </w:pPr>
    </w:p>
    <w:p w14:paraId="62870B49" w14:textId="1563A831" w:rsidR="008B6942" w:rsidRDefault="008B6942" w:rsidP="00BA1A08">
      <w:pPr>
        <w:pStyle w:val="Caption"/>
        <w:spacing w:before="1920" w:line="240" w:lineRule="auto"/>
        <w:jc w:val="left"/>
      </w:pPr>
      <w:r w:rsidRPr="00704360">
        <w:lastRenderedPageBreak/>
        <w:t xml:space="preserve">Table </w:t>
      </w:r>
      <w:r w:rsidR="00704360" w:rsidRPr="00704360">
        <w:t>1</w:t>
      </w:r>
      <w:r w:rsidRPr="006273B6">
        <w:t>. Characteristics of Hospitals</w:t>
      </w:r>
      <w:r>
        <w:t xml:space="preserve"> in Development and </w:t>
      </w:r>
      <w:r w:rsidR="00A711E1">
        <w:t>Validation Dataset</w:t>
      </w:r>
      <w:r>
        <w:t xml:space="preserve">s and Hospitals </w:t>
      </w:r>
      <w:r w:rsidR="00ED1277">
        <w:t xml:space="preserve">with </w:t>
      </w:r>
      <w:r>
        <w:t xml:space="preserve">at least 25 THA/TKA </w:t>
      </w:r>
      <w:r w:rsidR="00ED1277">
        <w:t>Patients with PRO Data</w:t>
      </w:r>
      <w:r>
        <w:t xml:space="preserve"> during the Measurement Period</w:t>
      </w:r>
    </w:p>
    <w:tbl>
      <w:tblPr>
        <w:tblStyle w:val="TableGrid"/>
        <w:tblW w:w="9535" w:type="dxa"/>
        <w:tblLayout w:type="fixed"/>
        <w:tblLook w:val="04A0" w:firstRow="1" w:lastRow="0" w:firstColumn="1" w:lastColumn="0" w:noHBand="0" w:noVBand="1"/>
      </w:tblPr>
      <w:tblGrid>
        <w:gridCol w:w="3775"/>
        <w:gridCol w:w="1530"/>
        <w:gridCol w:w="1620"/>
        <w:gridCol w:w="2610"/>
      </w:tblGrid>
      <w:tr w:rsidR="002228E1" w:rsidRPr="00E71F18" w14:paraId="25824AE3" w14:textId="77777777" w:rsidTr="00BA1A08">
        <w:tc>
          <w:tcPr>
            <w:tcW w:w="3775" w:type="dxa"/>
            <w:shd w:val="clear" w:color="auto" w:fill="B8CCE4" w:themeFill="accent1" w:themeFillTint="66"/>
            <w:vAlign w:val="center"/>
          </w:tcPr>
          <w:p w14:paraId="3896F91A" w14:textId="36473FB2" w:rsidR="002228E1" w:rsidRPr="00E71F18" w:rsidRDefault="00E71C5C" w:rsidP="008B6942">
            <w:pPr>
              <w:rPr>
                <w:b/>
                <w:bCs/>
              </w:rPr>
            </w:pPr>
            <w:r>
              <w:rPr>
                <w:b/>
                <w:bCs/>
              </w:rPr>
              <w:t>Variable</w:t>
            </w:r>
          </w:p>
        </w:tc>
        <w:tc>
          <w:tcPr>
            <w:tcW w:w="1530" w:type="dxa"/>
            <w:shd w:val="clear" w:color="auto" w:fill="B8CCE4" w:themeFill="accent1" w:themeFillTint="66"/>
            <w:vAlign w:val="center"/>
          </w:tcPr>
          <w:p w14:paraId="12DF22AE" w14:textId="6AA887E0" w:rsidR="002228E1" w:rsidRPr="00E71F18" w:rsidRDefault="002228E1" w:rsidP="002228E1">
            <w:pPr>
              <w:jc w:val="center"/>
              <w:rPr>
                <w:b/>
                <w:bCs/>
              </w:rPr>
            </w:pPr>
            <w:r>
              <w:rPr>
                <w:b/>
                <w:bCs/>
              </w:rPr>
              <w:t>Hospitals in Development Dataset</w:t>
            </w:r>
          </w:p>
        </w:tc>
        <w:tc>
          <w:tcPr>
            <w:tcW w:w="1620" w:type="dxa"/>
            <w:shd w:val="clear" w:color="auto" w:fill="B8CCE4" w:themeFill="accent1" w:themeFillTint="66"/>
            <w:vAlign w:val="center"/>
          </w:tcPr>
          <w:p w14:paraId="1EE5DD8F" w14:textId="36807371" w:rsidR="002228E1" w:rsidRDefault="002228E1" w:rsidP="002228E1">
            <w:pPr>
              <w:jc w:val="center"/>
              <w:rPr>
                <w:b/>
                <w:bCs/>
              </w:rPr>
            </w:pPr>
            <w:r>
              <w:rPr>
                <w:b/>
                <w:bCs/>
              </w:rPr>
              <w:t xml:space="preserve">Hospitals in </w:t>
            </w:r>
            <w:r w:rsidR="00A711E1">
              <w:rPr>
                <w:b/>
                <w:bCs/>
              </w:rPr>
              <w:t>Validation Dataset</w:t>
            </w:r>
          </w:p>
        </w:tc>
        <w:tc>
          <w:tcPr>
            <w:tcW w:w="2610" w:type="dxa"/>
            <w:shd w:val="clear" w:color="auto" w:fill="B8CCE4" w:themeFill="accent1" w:themeFillTint="66"/>
            <w:vAlign w:val="center"/>
          </w:tcPr>
          <w:p w14:paraId="15422496" w14:textId="19C7D6F3" w:rsidR="002228E1" w:rsidRPr="00E71F18" w:rsidRDefault="002228E1" w:rsidP="00ED1277">
            <w:pPr>
              <w:jc w:val="center"/>
              <w:rPr>
                <w:b/>
                <w:bCs/>
              </w:rPr>
            </w:pPr>
            <w:r>
              <w:rPr>
                <w:b/>
                <w:bCs/>
              </w:rPr>
              <w:t xml:space="preserve">Hospitals </w:t>
            </w:r>
            <w:r w:rsidR="00D06B4D">
              <w:rPr>
                <w:b/>
                <w:bCs/>
              </w:rPr>
              <w:t xml:space="preserve">in </w:t>
            </w:r>
            <w:r w:rsidR="00215234">
              <w:rPr>
                <w:b/>
                <w:bCs/>
              </w:rPr>
              <w:t xml:space="preserve">Combined Dataset for </w:t>
            </w:r>
            <w:r w:rsidR="00D06B4D">
              <w:rPr>
                <w:b/>
                <w:bCs/>
              </w:rPr>
              <w:t xml:space="preserve">Reliability </w:t>
            </w:r>
            <w:r w:rsidR="008A7217" w:rsidRPr="00815429">
              <w:rPr>
                <w:b/>
                <w:bCs/>
              </w:rPr>
              <w:t xml:space="preserve">and Validity </w:t>
            </w:r>
            <w:r w:rsidR="00D06B4D" w:rsidRPr="00815429">
              <w:rPr>
                <w:b/>
                <w:bCs/>
              </w:rPr>
              <w:t>Testing</w:t>
            </w:r>
            <w:r w:rsidR="003A2309">
              <w:rPr>
                <w:b/>
                <w:bCs/>
              </w:rPr>
              <w:t xml:space="preserve"> and Response-Bias Analyses</w:t>
            </w:r>
            <w:r w:rsidR="00D06B4D" w:rsidRPr="00815429">
              <w:rPr>
                <w:b/>
                <w:bCs/>
              </w:rPr>
              <w:t xml:space="preserve"> (</w:t>
            </w:r>
            <w:r w:rsidRPr="00815429">
              <w:rPr>
                <w:b/>
                <w:bCs/>
              </w:rPr>
              <w:t xml:space="preserve">with </w:t>
            </w:r>
            <w:r w:rsidRPr="00815429">
              <w:rPr>
                <w:b/>
                <w:bCs/>
                <w:u w:val="single"/>
              </w:rPr>
              <w:t>&gt;</w:t>
            </w:r>
            <w:r w:rsidRPr="00815429">
              <w:rPr>
                <w:b/>
                <w:bCs/>
              </w:rPr>
              <w:t xml:space="preserve"> 25 </w:t>
            </w:r>
            <w:r>
              <w:rPr>
                <w:b/>
                <w:bCs/>
              </w:rPr>
              <w:t>THA/TKA</w:t>
            </w:r>
            <w:r w:rsidR="00ED1277">
              <w:rPr>
                <w:b/>
                <w:bCs/>
              </w:rPr>
              <w:t xml:space="preserve"> Patients with PRO Data</w:t>
            </w:r>
            <w:r w:rsidR="00D06B4D">
              <w:rPr>
                <w:b/>
                <w:bCs/>
              </w:rPr>
              <w:t>)</w:t>
            </w:r>
          </w:p>
        </w:tc>
      </w:tr>
      <w:tr w:rsidR="002228E1" w14:paraId="37FB0F14" w14:textId="77777777" w:rsidTr="00BA1A08">
        <w:tc>
          <w:tcPr>
            <w:tcW w:w="3775" w:type="dxa"/>
          </w:tcPr>
          <w:p w14:paraId="127FA961" w14:textId="106B498E" w:rsidR="002228E1" w:rsidRPr="007C7965" w:rsidRDefault="002228E1" w:rsidP="008B6942">
            <w:pPr>
              <w:rPr>
                <w:b/>
              </w:rPr>
            </w:pPr>
            <w:r w:rsidRPr="007C7965">
              <w:rPr>
                <w:b/>
              </w:rPr>
              <w:t>Total Hospitals, N</w:t>
            </w:r>
          </w:p>
        </w:tc>
        <w:tc>
          <w:tcPr>
            <w:tcW w:w="1530" w:type="dxa"/>
            <w:vAlign w:val="center"/>
          </w:tcPr>
          <w:p w14:paraId="4691A995" w14:textId="75C6FDB2" w:rsidR="002228E1" w:rsidRDefault="00D06B4D" w:rsidP="008B6942">
            <w:pPr>
              <w:jc w:val="center"/>
            </w:pPr>
            <w:r>
              <w:t>230</w:t>
            </w:r>
          </w:p>
        </w:tc>
        <w:tc>
          <w:tcPr>
            <w:tcW w:w="1620" w:type="dxa"/>
          </w:tcPr>
          <w:p w14:paraId="62B05663" w14:textId="6DFF8D8C" w:rsidR="002228E1" w:rsidRDefault="00D06B4D" w:rsidP="008B6942">
            <w:pPr>
              <w:jc w:val="center"/>
            </w:pPr>
            <w:r>
              <w:t>219</w:t>
            </w:r>
          </w:p>
        </w:tc>
        <w:tc>
          <w:tcPr>
            <w:tcW w:w="2610" w:type="dxa"/>
            <w:vAlign w:val="center"/>
          </w:tcPr>
          <w:p w14:paraId="5D238D92" w14:textId="7371755D" w:rsidR="002228E1" w:rsidRDefault="002228E1" w:rsidP="008B6942">
            <w:pPr>
              <w:jc w:val="center"/>
            </w:pPr>
            <w:r>
              <w:t>123</w:t>
            </w:r>
          </w:p>
        </w:tc>
      </w:tr>
      <w:tr w:rsidR="00A63520" w14:paraId="37065356" w14:textId="77777777" w:rsidTr="00BA1A08">
        <w:tc>
          <w:tcPr>
            <w:tcW w:w="3775" w:type="dxa"/>
          </w:tcPr>
          <w:p w14:paraId="357E4177" w14:textId="5976B032" w:rsidR="00A63520" w:rsidRPr="007C7965" w:rsidRDefault="00A63520" w:rsidP="00A63520">
            <w:pPr>
              <w:rPr>
                <w:b/>
              </w:rPr>
            </w:pPr>
            <w:r>
              <w:rPr>
                <w:b/>
              </w:rPr>
              <w:t>Median # of Elective Primary THA/TKA Procedures Performed (Q1, Q3)</w:t>
            </w:r>
          </w:p>
        </w:tc>
        <w:tc>
          <w:tcPr>
            <w:tcW w:w="1530" w:type="dxa"/>
            <w:vAlign w:val="center"/>
          </w:tcPr>
          <w:p w14:paraId="47A24BD8" w14:textId="51B5E791" w:rsidR="00A63520" w:rsidRDefault="00A63520" w:rsidP="00A63520">
            <w:pPr>
              <w:jc w:val="center"/>
            </w:pPr>
            <w:r>
              <w:t>121 (56, 244)</w:t>
            </w:r>
          </w:p>
        </w:tc>
        <w:tc>
          <w:tcPr>
            <w:tcW w:w="1620" w:type="dxa"/>
            <w:vAlign w:val="center"/>
          </w:tcPr>
          <w:p w14:paraId="67E63555" w14:textId="4A817806" w:rsidR="00A63520" w:rsidRDefault="00A63520" w:rsidP="00A63520">
            <w:pPr>
              <w:jc w:val="center"/>
            </w:pPr>
            <w:r>
              <w:t>123 (54, 250)</w:t>
            </w:r>
          </w:p>
        </w:tc>
        <w:tc>
          <w:tcPr>
            <w:tcW w:w="2610" w:type="dxa"/>
            <w:vAlign w:val="center"/>
          </w:tcPr>
          <w:p w14:paraId="3844809A" w14:textId="63E6498E" w:rsidR="00A63520" w:rsidRDefault="00A63520" w:rsidP="00A63520">
            <w:pPr>
              <w:jc w:val="center"/>
            </w:pPr>
            <w:r>
              <w:t>209 (114, 300)</w:t>
            </w:r>
          </w:p>
        </w:tc>
      </w:tr>
      <w:tr w:rsidR="00A63520" w14:paraId="7496D58A" w14:textId="77777777" w:rsidTr="00BA1A08">
        <w:tc>
          <w:tcPr>
            <w:tcW w:w="3775" w:type="dxa"/>
          </w:tcPr>
          <w:p w14:paraId="08B7D759" w14:textId="23B49E9D" w:rsidR="00A63520" w:rsidRPr="007C7965" w:rsidRDefault="00AD50BB" w:rsidP="00A63520">
            <w:pPr>
              <w:rPr>
                <w:b/>
              </w:rPr>
            </w:pPr>
            <w:r>
              <w:rPr>
                <w:b/>
              </w:rPr>
              <w:t xml:space="preserve">Mean % of Patients on </w:t>
            </w:r>
            <w:r w:rsidR="00A63520" w:rsidRPr="007C7965">
              <w:rPr>
                <w:b/>
              </w:rPr>
              <w:t>Medicaid</w:t>
            </w:r>
            <w:r>
              <w:rPr>
                <w:b/>
              </w:rPr>
              <w:t xml:space="preserve"> (SD)</w:t>
            </w:r>
          </w:p>
        </w:tc>
        <w:tc>
          <w:tcPr>
            <w:tcW w:w="1530" w:type="dxa"/>
            <w:vAlign w:val="center"/>
          </w:tcPr>
          <w:p w14:paraId="0FCD214A" w14:textId="14A0C273" w:rsidR="00A63520" w:rsidRDefault="00A63520" w:rsidP="00A63520">
            <w:pPr>
              <w:jc w:val="center"/>
            </w:pPr>
            <w:r>
              <w:t>18.3%, 10.3</w:t>
            </w:r>
          </w:p>
        </w:tc>
        <w:tc>
          <w:tcPr>
            <w:tcW w:w="1620" w:type="dxa"/>
            <w:vAlign w:val="center"/>
          </w:tcPr>
          <w:p w14:paraId="54EBB041" w14:textId="765084E6" w:rsidR="00A63520" w:rsidRDefault="00A63520" w:rsidP="00A63520">
            <w:pPr>
              <w:jc w:val="center"/>
            </w:pPr>
            <w:r>
              <w:t>18.0%, 0.1</w:t>
            </w:r>
          </w:p>
        </w:tc>
        <w:tc>
          <w:tcPr>
            <w:tcW w:w="2610" w:type="dxa"/>
            <w:vAlign w:val="center"/>
          </w:tcPr>
          <w:p w14:paraId="4B82D0F3" w14:textId="0A076491" w:rsidR="00A63520" w:rsidRDefault="00A63520" w:rsidP="00A63520">
            <w:pPr>
              <w:jc w:val="center"/>
            </w:pPr>
            <w:r>
              <w:t>20.4%, 11.4</w:t>
            </w:r>
          </w:p>
        </w:tc>
      </w:tr>
      <w:tr w:rsidR="00A63520" w14:paraId="319399CF" w14:textId="77777777" w:rsidTr="00BA1A08">
        <w:tc>
          <w:tcPr>
            <w:tcW w:w="3775" w:type="dxa"/>
          </w:tcPr>
          <w:p w14:paraId="598AF21D" w14:textId="77777777" w:rsidR="00A63520" w:rsidRPr="007C7965" w:rsidRDefault="00A63520" w:rsidP="00A63520">
            <w:pPr>
              <w:rPr>
                <w:b/>
              </w:rPr>
            </w:pPr>
            <w:r w:rsidRPr="007C7965">
              <w:rPr>
                <w:b/>
              </w:rPr>
              <w:t>Region, %</w:t>
            </w:r>
          </w:p>
          <w:p w14:paraId="42771A6D" w14:textId="77777777" w:rsidR="00A63520" w:rsidRDefault="00A63520" w:rsidP="00A63520">
            <w:r>
              <w:t xml:space="preserve">     West</w:t>
            </w:r>
          </w:p>
          <w:p w14:paraId="6E3DA3E8" w14:textId="77777777" w:rsidR="00A63520" w:rsidRDefault="00A63520" w:rsidP="00A63520">
            <w:r>
              <w:t xml:space="preserve">     Midwest</w:t>
            </w:r>
          </w:p>
          <w:p w14:paraId="4DC5F317" w14:textId="77777777" w:rsidR="00A63520" w:rsidRDefault="00A63520" w:rsidP="00A63520">
            <w:r>
              <w:t xml:space="preserve">     Northeast</w:t>
            </w:r>
          </w:p>
          <w:p w14:paraId="3E0BA447" w14:textId="77777777" w:rsidR="00A63520" w:rsidRDefault="00A63520" w:rsidP="00A63520">
            <w:r>
              <w:t xml:space="preserve">     South</w:t>
            </w:r>
          </w:p>
        </w:tc>
        <w:tc>
          <w:tcPr>
            <w:tcW w:w="1530" w:type="dxa"/>
            <w:vAlign w:val="center"/>
          </w:tcPr>
          <w:p w14:paraId="58A9CFA3" w14:textId="77777777" w:rsidR="00A63520" w:rsidRDefault="00A63520" w:rsidP="00A63520">
            <w:pPr>
              <w:jc w:val="center"/>
            </w:pPr>
          </w:p>
          <w:p w14:paraId="058F8C91" w14:textId="77777777" w:rsidR="00A63520" w:rsidRDefault="00A63520" w:rsidP="00A63520">
            <w:pPr>
              <w:jc w:val="center"/>
            </w:pPr>
            <w:r>
              <w:t>24.8%</w:t>
            </w:r>
          </w:p>
          <w:p w14:paraId="6F103CD0" w14:textId="77777777" w:rsidR="00A63520" w:rsidRDefault="00A63520" w:rsidP="00A63520">
            <w:pPr>
              <w:jc w:val="center"/>
            </w:pPr>
            <w:r>
              <w:t>28.7%</w:t>
            </w:r>
          </w:p>
          <w:p w14:paraId="5CF9E2DC" w14:textId="77777777" w:rsidR="00A63520" w:rsidRDefault="00A63520" w:rsidP="00A63520">
            <w:pPr>
              <w:jc w:val="center"/>
            </w:pPr>
            <w:r>
              <w:t>23.5%</w:t>
            </w:r>
          </w:p>
          <w:p w14:paraId="5FAA1959" w14:textId="7980EFF4" w:rsidR="00A63520" w:rsidRDefault="00A63520" w:rsidP="00A63520">
            <w:pPr>
              <w:jc w:val="center"/>
            </w:pPr>
            <w:r>
              <w:t>23.0%</w:t>
            </w:r>
          </w:p>
        </w:tc>
        <w:tc>
          <w:tcPr>
            <w:tcW w:w="1620" w:type="dxa"/>
            <w:vAlign w:val="center"/>
          </w:tcPr>
          <w:p w14:paraId="62826245" w14:textId="77777777" w:rsidR="00A63520" w:rsidRDefault="00A63520" w:rsidP="00A63520">
            <w:pPr>
              <w:jc w:val="center"/>
            </w:pPr>
          </w:p>
          <w:p w14:paraId="3F00CA02" w14:textId="77777777" w:rsidR="00A63520" w:rsidRDefault="00A63520" w:rsidP="00A63520">
            <w:pPr>
              <w:jc w:val="center"/>
            </w:pPr>
            <w:r>
              <w:t>25.1%</w:t>
            </w:r>
          </w:p>
          <w:p w14:paraId="1C527982" w14:textId="77777777" w:rsidR="00A63520" w:rsidRDefault="00A63520" w:rsidP="00A63520">
            <w:pPr>
              <w:jc w:val="center"/>
            </w:pPr>
            <w:r>
              <w:t>31.1%</w:t>
            </w:r>
          </w:p>
          <w:p w14:paraId="230C2E58" w14:textId="77777777" w:rsidR="00A63520" w:rsidRDefault="00A63520" w:rsidP="00A63520">
            <w:pPr>
              <w:jc w:val="center"/>
            </w:pPr>
            <w:r>
              <w:t>21.9%</w:t>
            </w:r>
          </w:p>
          <w:p w14:paraId="4C862A1F" w14:textId="255AAFB3" w:rsidR="00A63520" w:rsidRDefault="00A63520" w:rsidP="00A63520">
            <w:pPr>
              <w:jc w:val="center"/>
            </w:pPr>
            <w:r>
              <w:t>21.9%</w:t>
            </w:r>
          </w:p>
        </w:tc>
        <w:tc>
          <w:tcPr>
            <w:tcW w:w="2610" w:type="dxa"/>
            <w:vAlign w:val="center"/>
          </w:tcPr>
          <w:p w14:paraId="231335AE" w14:textId="77777777" w:rsidR="00A63520" w:rsidRDefault="00A63520" w:rsidP="00A63520">
            <w:pPr>
              <w:jc w:val="center"/>
            </w:pPr>
          </w:p>
          <w:p w14:paraId="32FF0AE9" w14:textId="77777777" w:rsidR="00A63520" w:rsidRDefault="00A63520" w:rsidP="00A63520">
            <w:pPr>
              <w:jc w:val="center"/>
            </w:pPr>
            <w:r>
              <w:t>27.6%</w:t>
            </w:r>
          </w:p>
          <w:p w14:paraId="7D52570B" w14:textId="77777777" w:rsidR="00A63520" w:rsidRDefault="00A63520" w:rsidP="00A63520">
            <w:pPr>
              <w:jc w:val="center"/>
            </w:pPr>
            <w:r>
              <w:t>34.2%</w:t>
            </w:r>
          </w:p>
          <w:p w14:paraId="5AE24F5C" w14:textId="77777777" w:rsidR="00A63520" w:rsidRDefault="00A63520" w:rsidP="00A63520">
            <w:pPr>
              <w:jc w:val="center"/>
            </w:pPr>
            <w:r>
              <w:t>17.9%</w:t>
            </w:r>
          </w:p>
          <w:p w14:paraId="1B9B5835" w14:textId="370B5AC2" w:rsidR="00A63520" w:rsidRDefault="00A63520" w:rsidP="00A63520">
            <w:pPr>
              <w:jc w:val="center"/>
            </w:pPr>
            <w:r>
              <w:t>20.3%</w:t>
            </w:r>
          </w:p>
        </w:tc>
      </w:tr>
      <w:tr w:rsidR="00A63520" w14:paraId="77547066" w14:textId="77777777" w:rsidTr="00BA1A08">
        <w:tc>
          <w:tcPr>
            <w:tcW w:w="3775" w:type="dxa"/>
          </w:tcPr>
          <w:p w14:paraId="5989459D" w14:textId="77777777" w:rsidR="00A63520" w:rsidRPr="007C7965" w:rsidRDefault="00A63520" w:rsidP="00A63520">
            <w:pPr>
              <w:rPr>
                <w:b/>
              </w:rPr>
            </w:pPr>
            <w:r w:rsidRPr="007C7965">
              <w:rPr>
                <w:b/>
              </w:rPr>
              <w:t>Teaching Status, %</w:t>
            </w:r>
          </w:p>
          <w:p w14:paraId="024085CF" w14:textId="77777777" w:rsidR="00A63520" w:rsidRDefault="00A63520" w:rsidP="00A63520">
            <w:r>
              <w:t xml:space="preserve">     Teaching</w:t>
            </w:r>
          </w:p>
          <w:p w14:paraId="005A0DA6" w14:textId="77777777" w:rsidR="00A63520" w:rsidRDefault="00A63520" w:rsidP="00A63520">
            <w:r>
              <w:t xml:space="preserve">     Non-Teaching</w:t>
            </w:r>
          </w:p>
        </w:tc>
        <w:tc>
          <w:tcPr>
            <w:tcW w:w="1530" w:type="dxa"/>
            <w:vAlign w:val="center"/>
          </w:tcPr>
          <w:p w14:paraId="7FFC21D5" w14:textId="77777777" w:rsidR="00A63520" w:rsidRDefault="00A63520" w:rsidP="00A63520">
            <w:pPr>
              <w:jc w:val="center"/>
            </w:pPr>
          </w:p>
          <w:p w14:paraId="06AAE2D1" w14:textId="77777777" w:rsidR="00A63520" w:rsidRDefault="00A63520" w:rsidP="00A63520">
            <w:pPr>
              <w:jc w:val="center"/>
            </w:pPr>
            <w:r>
              <w:t>46.1%</w:t>
            </w:r>
          </w:p>
          <w:p w14:paraId="19CA5CAC" w14:textId="64CC17E8" w:rsidR="00A63520" w:rsidRDefault="00A63520" w:rsidP="00A63520">
            <w:pPr>
              <w:jc w:val="center"/>
            </w:pPr>
            <w:r>
              <w:t>53.9%</w:t>
            </w:r>
          </w:p>
        </w:tc>
        <w:tc>
          <w:tcPr>
            <w:tcW w:w="1620" w:type="dxa"/>
            <w:vAlign w:val="center"/>
          </w:tcPr>
          <w:p w14:paraId="04BE1107" w14:textId="77777777" w:rsidR="00A63520" w:rsidRDefault="00A63520" w:rsidP="00A63520">
            <w:pPr>
              <w:jc w:val="center"/>
            </w:pPr>
          </w:p>
          <w:p w14:paraId="0A9FE2AF" w14:textId="77777777" w:rsidR="00A63520" w:rsidRDefault="00A63520" w:rsidP="00A63520">
            <w:pPr>
              <w:jc w:val="center"/>
            </w:pPr>
            <w:r>
              <w:t>44.8%</w:t>
            </w:r>
          </w:p>
          <w:p w14:paraId="6DDDFCD4" w14:textId="32C7FC56" w:rsidR="00A63520" w:rsidRDefault="00A63520" w:rsidP="00A63520">
            <w:pPr>
              <w:jc w:val="center"/>
            </w:pPr>
            <w:r>
              <w:t>55.2%</w:t>
            </w:r>
          </w:p>
        </w:tc>
        <w:tc>
          <w:tcPr>
            <w:tcW w:w="2610" w:type="dxa"/>
            <w:vAlign w:val="center"/>
          </w:tcPr>
          <w:p w14:paraId="3D2841E3" w14:textId="77777777" w:rsidR="00A63520" w:rsidRDefault="00A63520" w:rsidP="00A63520">
            <w:pPr>
              <w:jc w:val="center"/>
            </w:pPr>
          </w:p>
          <w:p w14:paraId="4C7488B7" w14:textId="77777777" w:rsidR="00A63520" w:rsidRDefault="00A63520" w:rsidP="00A63520">
            <w:pPr>
              <w:jc w:val="center"/>
            </w:pPr>
            <w:r>
              <w:t>48.8%</w:t>
            </w:r>
          </w:p>
          <w:p w14:paraId="0351E1EA" w14:textId="2DADB9DC" w:rsidR="00A63520" w:rsidRDefault="00A63520" w:rsidP="00A63520">
            <w:pPr>
              <w:jc w:val="center"/>
            </w:pPr>
            <w:r>
              <w:t>51.2%</w:t>
            </w:r>
          </w:p>
        </w:tc>
      </w:tr>
    </w:tbl>
    <w:p w14:paraId="1E3BAB51" w14:textId="77777777" w:rsidR="00E6288F" w:rsidRDefault="00E6288F" w:rsidP="00E37E1B">
      <w:pPr>
        <w:autoSpaceDE w:val="0"/>
        <w:autoSpaceDN w:val="0"/>
        <w:adjustRightInd w:val="0"/>
        <w:spacing w:after="0" w:line="240" w:lineRule="auto"/>
        <w:rPr>
          <w:rFonts w:cstheme="minorHAnsi"/>
          <w:bCs/>
        </w:rPr>
      </w:pPr>
    </w:p>
    <w:p w14:paraId="7228027D" w14:textId="77777777" w:rsidR="00E6288F" w:rsidRDefault="00E6288F" w:rsidP="00E37E1B">
      <w:pPr>
        <w:autoSpaceDE w:val="0"/>
        <w:autoSpaceDN w:val="0"/>
        <w:adjustRightInd w:val="0"/>
        <w:spacing w:after="0" w:line="240" w:lineRule="auto"/>
        <w:rPr>
          <w:rFonts w:cstheme="minorHAnsi"/>
          <w:bCs/>
        </w:rPr>
      </w:pPr>
    </w:p>
    <w:p w14:paraId="7F89D8FC" w14:textId="1ED98B0B" w:rsidR="002E72AB" w:rsidRPr="00514C56" w:rsidRDefault="002E72AB" w:rsidP="00B66E1C">
      <w:pPr>
        <w:spacing w:line="240" w:lineRule="auto"/>
        <w:rPr>
          <w:b/>
        </w:rPr>
      </w:pPr>
      <w:r w:rsidRPr="00704360">
        <w:rPr>
          <w:b/>
        </w:rPr>
        <w:t xml:space="preserve">Table </w:t>
      </w:r>
      <w:r w:rsidR="00704360" w:rsidRPr="00704360">
        <w:rPr>
          <w:b/>
        </w:rPr>
        <w:t>2</w:t>
      </w:r>
      <w:r w:rsidRPr="00704360">
        <w:rPr>
          <w:b/>
        </w:rPr>
        <w:t>.</w:t>
      </w:r>
      <w:r>
        <w:rPr>
          <w:b/>
        </w:rPr>
        <w:t xml:space="preserve"> Patient </w:t>
      </w:r>
      <w:r w:rsidRPr="00C224CA">
        <w:rPr>
          <w:b/>
        </w:rPr>
        <w:t>Characteristics</w:t>
      </w:r>
      <w:r w:rsidR="00925D4C" w:rsidRPr="00C224CA">
        <w:rPr>
          <w:b/>
        </w:rPr>
        <w:t xml:space="preserve"> in Development and Validation Datasets</w:t>
      </w:r>
    </w:p>
    <w:tbl>
      <w:tblPr>
        <w:tblStyle w:val="TableGrid"/>
        <w:tblW w:w="9535" w:type="dxa"/>
        <w:tblLayout w:type="fixed"/>
        <w:tblLook w:val="04A0" w:firstRow="1" w:lastRow="0" w:firstColumn="1" w:lastColumn="0" w:noHBand="0" w:noVBand="1"/>
      </w:tblPr>
      <w:tblGrid>
        <w:gridCol w:w="5575"/>
        <w:gridCol w:w="2070"/>
        <w:gridCol w:w="1890"/>
      </w:tblGrid>
      <w:tr w:rsidR="00925D4C" w14:paraId="0F3E3F79" w14:textId="77777777" w:rsidTr="00BA1A08">
        <w:trPr>
          <w:tblHeader/>
        </w:trPr>
        <w:tc>
          <w:tcPr>
            <w:tcW w:w="5575" w:type="dxa"/>
            <w:shd w:val="clear" w:color="auto" w:fill="B8CCE4" w:themeFill="accent1" w:themeFillTint="66"/>
          </w:tcPr>
          <w:p w14:paraId="66562AD0" w14:textId="77777777" w:rsidR="00925D4C" w:rsidRPr="003916A7" w:rsidRDefault="00925D4C" w:rsidP="00B2166C">
            <w:pPr>
              <w:contextualSpacing/>
              <w:rPr>
                <w:rFonts w:cstheme="minorHAnsi"/>
              </w:rPr>
            </w:pPr>
            <w:r w:rsidRPr="003916A7">
              <w:rPr>
                <w:rFonts w:cstheme="minorHAnsi"/>
                <w:b/>
              </w:rPr>
              <w:t>Variable</w:t>
            </w:r>
          </w:p>
        </w:tc>
        <w:tc>
          <w:tcPr>
            <w:tcW w:w="2070" w:type="dxa"/>
            <w:shd w:val="clear" w:color="auto" w:fill="B8CCE4" w:themeFill="accent1" w:themeFillTint="66"/>
          </w:tcPr>
          <w:p w14:paraId="53BF9B34" w14:textId="68270A2F" w:rsidR="00925D4C" w:rsidRPr="003916A7" w:rsidRDefault="00925D4C" w:rsidP="00B2166C">
            <w:pPr>
              <w:contextualSpacing/>
              <w:jc w:val="center"/>
              <w:rPr>
                <w:rFonts w:cstheme="minorHAnsi"/>
              </w:rPr>
            </w:pPr>
            <w:r w:rsidRPr="003916A7">
              <w:rPr>
                <w:rFonts w:cstheme="minorHAnsi"/>
                <w:b/>
              </w:rPr>
              <w:t>Development Dataset N (%)</w:t>
            </w:r>
          </w:p>
        </w:tc>
        <w:tc>
          <w:tcPr>
            <w:tcW w:w="1890" w:type="dxa"/>
            <w:shd w:val="clear" w:color="auto" w:fill="B8CCE4" w:themeFill="accent1" w:themeFillTint="66"/>
          </w:tcPr>
          <w:p w14:paraId="60138542" w14:textId="3CBE9513" w:rsidR="00925D4C" w:rsidRPr="003916A7" w:rsidRDefault="00925D4C" w:rsidP="00B2166C">
            <w:pPr>
              <w:contextualSpacing/>
              <w:jc w:val="center"/>
              <w:rPr>
                <w:rFonts w:cstheme="minorHAnsi"/>
              </w:rPr>
            </w:pPr>
            <w:r w:rsidRPr="003916A7">
              <w:rPr>
                <w:rFonts w:cstheme="minorHAnsi"/>
                <w:b/>
              </w:rPr>
              <w:t>Validation Dataset N (%)</w:t>
            </w:r>
          </w:p>
        </w:tc>
      </w:tr>
      <w:tr w:rsidR="00925D4C" w14:paraId="387005C1" w14:textId="77777777" w:rsidTr="00BA1A08">
        <w:tc>
          <w:tcPr>
            <w:tcW w:w="5575" w:type="dxa"/>
          </w:tcPr>
          <w:p w14:paraId="6215C731" w14:textId="77777777" w:rsidR="00925D4C" w:rsidRPr="003916A7" w:rsidRDefault="00925D4C" w:rsidP="00AD50BB">
            <w:pPr>
              <w:contextualSpacing/>
              <w:rPr>
                <w:rFonts w:cstheme="minorHAnsi"/>
              </w:rPr>
            </w:pPr>
            <w:r w:rsidRPr="003916A7">
              <w:rPr>
                <w:rFonts w:cstheme="minorHAnsi"/>
              </w:rPr>
              <w:t>Total N</w:t>
            </w:r>
          </w:p>
        </w:tc>
        <w:tc>
          <w:tcPr>
            <w:tcW w:w="2070" w:type="dxa"/>
          </w:tcPr>
          <w:p w14:paraId="78879284" w14:textId="7669D83C" w:rsidR="00925D4C" w:rsidRPr="003916A7" w:rsidRDefault="00925D4C" w:rsidP="004C2AF9">
            <w:pPr>
              <w:contextualSpacing/>
              <w:jc w:val="center"/>
              <w:rPr>
                <w:rFonts w:cstheme="minorHAnsi"/>
              </w:rPr>
            </w:pPr>
            <w:r w:rsidRPr="003916A7">
              <w:rPr>
                <w:rFonts w:cstheme="minorHAnsi"/>
              </w:rPr>
              <w:t>6734</w:t>
            </w:r>
          </w:p>
        </w:tc>
        <w:tc>
          <w:tcPr>
            <w:tcW w:w="1890" w:type="dxa"/>
          </w:tcPr>
          <w:p w14:paraId="040CCB7E" w14:textId="559969EF" w:rsidR="00925D4C" w:rsidRPr="003916A7" w:rsidRDefault="00925D4C" w:rsidP="004C2AF9">
            <w:pPr>
              <w:contextualSpacing/>
              <w:jc w:val="center"/>
              <w:rPr>
                <w:rFonts w:cstheme="minorHAnsi"/>
              </w:rPr>
            </w:pPr>
            <w:r w:rsidRPr="003916A7">
              <w:rPr>
                <w:rFonts w:cstheme="minorHAnsi"/>
              </w:rPr>
              <w:t>4536</w:t>
            </w:r>
          </w:p>
        </w:tc>
      </w:tr>
      <w:tr w:rsidR="00925D4C" w14:paraId="0ACFD395" w14:textId="77777777" w:rsidTr="00BA1A08">
        <w:tc>
          <w:tcPr>
            <w:tcW w:w="5575" w:type="dxa"/>
          </w:tcPr>
          <w:p w14:paraId="3C998844" w14:textId="77777777" w:rsidR="00925D4C" w:rsidRPr="003916A7" w:rsidRDefault="00925D4C" w:rsidP="00AD50BB">
            <w:pPr>
              <w:contextualSpacing/>
              <w:rPr>
                <w:rFonts w:cstheme="minorHAnsi"/>
              </w:rPr>
            </w:pPr>
            <w:r w:rsidRPr="003916A7">
              <w:rPr>
                <w:rFonts w:cstheme="minorHAnsi"/>
              </w:rPr>
              <w:t xml:space="preserve">Age in years </w:t>
            </w:r>
            <w:r w:rsidRPr="003916A7">
              <w:rPr>
                <w:rFonts w:cstheme="minorHAnsi"/>
                <w:i/>
              </w:rPr>
              <w:t>(Mean, SD)</w:t>
            </w:r>
          </w:p>
        </w:tc>
        <w:tc>
          <w:tcPr>
            <w:tcW w:w="2070" w:type="dxa"/>
          </w:tcPr>
          <w:p w14:paraId="690D79A8" w14:textId="7981E4A4" w:rsidR="00925D4C" w:rsidRPr="003916A7" w:rsidRDefault="00925D4C" w:rsidP="000D5D5A">
            <w:pPr>
              <w:contextualSpacing/>
              <w:jc w:val="right"/>
              <w:rPr>
                <w:rFonts w:cstheme="minorHAnsi"/>
              </w:rPr>
            </w:pPr>
            <w:r w:rsidRPr="003916A7">
              <w:rPr>
                <w:rFonts w:cstheme="minorHAnsi"/>
              </w:rPr>
              <w:t>73.63 (5.75)</w:t>
            </w:r>
            <w:r w:rsidR="00901A53" w:rsidRPr="003916A7">
              <w:rPr>
                <w:rFonts w:cstheme="minorHAnsi"/>
              </w:rPr>
              <w:t xml:space="preserve"> </w:t>
            </w:r>
          </w:p>
        </w:tc>
        <w:tc>
          <w:tcPr>
            <w:tcW w:w="1890" w:type="dxa"/>
          </w:tcPr>
          <w:p w14:paraId="450123E2" w14:textId="71EAECE2" w:rsidR="00925D4C" w:rsidRPr="003916A7" w:rsidRDefault="00925D4C" w:rsidP="000D5D5A">
            <w:pPr>
              <w:contextualSpacing/>
              <w:jc w:val="right"/>
              <w:rPr>
                <w:rFonts w:cstheme="minorHAnsi"/>
              </w:rPr>
            </w:pPr>
            <w:r w:rsidRPr="003916A7">
              <w:rPr>
                <w:rFonts w:cstheme="minorHAnsi"/>
              </w:rPr>
              <w:t>73.74 (5.84)</w:t>
            </w:r>
          </w:p>
        </w:tc>
      </w:tr>
      <w:tr w:rsidR="000D5D5A" w14:paraId="09F173A5" w14:textId="77777777" w:rsidTr="00BA1A08">
        <w:tc>
          <w:tcPr>
            <w:tcW w:w="5575" w:type="dxa"/>
          </w:tcPr>
          <w:p w14:paraId="61F4AB3B" w14:textId="77777777" w:rsidR="000D5D5A" w:rsidRPr="003916A7" w:rsidRDefault="000D5D5A" w:rsidP="000D5D5A">
            <w:pPr>
              <w:contextualSpacing/>
              <w:rPr>
                <w:rFonts w:cstheme="minorHAnsi"/>
              </w:rPr>
            </w:pPr>
            <w:r w:rsidRPr="003916A7">
              <w:rPr>
                <w:rFonts w:cstheme="minorHAnsi"/>
              </w:rPr>
              <w:t>Sex: Male</w:t>
            </w:r>
          </w:p>
        </w:tc>
        <w:tc>
          <w:tcPr>
            <w:tcW w:w="2070" w:type="dxa"/>
          </w:tcPr>
          <w:p w14:paraId="0259E7CE" w14:textId="575B8951" w:rsidR="000D5D5A" w:rsidRPr="003916A7" w:rsidRDefault="000D5D5A" w:rsidP="000D5D5A">
            <w:pPr>
              <w:contextualSpacing/>
              <w:jc w:val="right"/>
              <w:rPr>
                <w:rFonts w:cstheme="minorHAnsi"/>
              </w:rPr>
            </w:pPr>
            <w:r w:rsidRPr="003916A7">
              <w:rPr>
                <w:rFonts w:cstheme="minorHAnsi"/>
              </w:rPr>
              <w:t>2442 (35.97%)</w:t>
            </w:r>
          </w:p>
        </w:tc>
        <w:tc>
          <w:tcPr>
            <w:tcW w:w="1890" w:type="dxa"/>
          </w:tcPr>
          <w:p w14:paraId="4E1E767E" w14:textId="46EF3503" w:rsidR="000D5D5A" w:rsidRPr="003916A7" w:rsidRDefault="000D5D5A" w:rsidP="000D5D5A">
            <w:pPr>
              <w:contextualSpacing/>
              <w:jc w:val="right"/>
              <w:rPr>
                <w:rFonts w:cstheme="minorHAnsi"/>
              </w:rPr>
            </w:pPr>
            <w:r w:rsidRPr="003916A7">
              <w:rPr>
                <w:rFonts w:cstheme="minorHAnsi"/>
              </w:rPr>
              <w:t>1660 (36.60%)</w:t>
            </w:r>
          </w:p>
        </w:tc>
      </w:tr>
      <w:tr w:rsidR="000D5D5A" w14:paraId="790DEAC4" w14:textId="77777777" w:rsidTr="00BA1A08">
        <w:tc>
          <w:tcPr>
            <w:tcW w:w="5575" w:type="dxa"/>
          </w:tcPr>
          <w:p w14:paraId="0EEE2403" w14:textId="77777777" w:rsidR="000D5D5A" w:rsidRPr="003916A7" w:rsidRDefault="000D5D5A" w:rsidP="000D5D5A">
            <w:pPr>
              <w:contextualSpacing/>
              <w:rPr>
                <w:rFonts w:cstheme="minorHAnsi"/>
              </w:rPr>
            </w:pPr>
            <w:r w:rsidRPr="003916A7">
              <w:rPr>
                <w:rFonts w:cstheme="minorHAnsi"/>
              </w:rPr>
              <w:t>Race:     Black, non-Hispanic</w:t>
            </w:r>
          </w:p>
        </w:tc>
        <w:tc>
          <w:tcPr>
            <w:tcW w:w="2070" w:type="dxa"/>
          </w:tcPr>
          <w:p w14:paraId="60E851DB" w14:textId="651686BC" w:rsidR="000D5D5A" w:rsidRPr="003916A7" w:rsidRDefault="00307F40" w:rsidP="000D5D5A">
            <w:pPr>
              <w:contextualSpacing/>
              <w:jc w:val="right"/>
              <w:rPr>
                <w:rFonts w:cstheme="minorHAnsi"/>
              </w:rPr>
            </w:pPr>
            <w:r w:rsidRPr="003916A7">
              <w:rPr>
                <w:rFonts w:cstheme="minorHAnsi"/>
              </w:rPr>
              <w:t>254 (3.77%)</w:t>
            </w:r>
          </w:p>
        </w:tc>
        <w:tc>
          <w:tcPr>
            <w:tcW w:w="1890" w:type="dxa"/>
          </w:tcPr>
          <w:p w14:paraId="4B993A27" w14:textId="0F28F2F3" w:rsidR="000D5D5A" w:rsidRPr="003916A7" w:rsidRDefault="00307F40" w:rsidP="000D5D5A">
            <w:pPr>
              <w:contextualSpacing/>
              <w:jc w:val="right"/>
              <w:rPr>
                <w:rFonts w:cstheme="minorHAnsi"/>
              </w:rPr>
            </w:pPr>
            <w:r w:rsidRPr="003916A7">
              <w:rPr>
                <w:rFonts w:cstheme="minorHAnsi"/>
              </w:rPr>
              <w:t>160 (3.53%)</w:t>
            </w:r>
          </w:p>
        </w:tc>
      </w:tr>
      <w:tr w:rsidR="000D5D5A" w14:paraId="6E92158D" w14:textId="77777777" w:rsidTr="00BA1A08">
        <w:tc>
          <w:tcPr>
            <w:tcW w:w="5575" w:type="dxa"/>
          </w:tcPr>
          <w:p w14:paraId="25F453FF" w14:textId="77777777" w:rsidR="000D5D5A" w:rsidRPr="003916A7" w:rsidRDefault="000D5D5A" w:rsidP="000D5D5A">
            <w:pPr>
              <w:ind w:left="720"/>
              <w:contextualSpacing/>
              <w:rPr>
                <w:rFonts w:cstheme="minorHAnsi"/>
              </w:rPr>
            </w:pPr>
            <w:r w:rsidRPr="003916A7">
              <w:rPr>
                <w:rFonts w:cstheme="minorHAnsi"/>
              </w:rPr>
              <w:t>White, non-Hispanic</w:t>
            </w:r>
          </w:p>
        </w:tc>
        <w:tc>
          <w:tcPr>
            <w:tcW w:w="2070" w:type="dxa"/>
          </w:tcPr>
          <w:p w14:paraId="29471B9B" w14:textId="009F707B" w:rsidR="000D5D5A" w:rsidRPr="003916A7" w:rsidRDefault="00307F40" w:rsidP="000D5D5A">
            <w:pPr>
              <w:contextualSpacing/>
              <w:jc w:val="right"/>
              <w:rPr>
                <w:rFonts w:cstheme="minorHAnsi"/>
              </w:rPr>
            </w:pPr>
            <w:r w:rsidRPr="003916A7">
              <w:rPr>
                <w:rFonts w:cstheme="minorHAnsi"/>
              </w:rPr>
              <w:t>6200 (92.07%)</w:t>
            </w:r>
          </w:p>
        </w:tc>
        <w:tc>
          <w:tcPr>
            <w:tcW w:w="1890" w:type="dxa"/>
          </w:tcPr>
          <w:p w14:paraId="27FAC51A" w14:textId="58B7E40A" w:rsidR="000D5D5A" w:rsidRPr="003916A7" w:rsidRDefault="00307F40" w:rsidP="000D5D5A">
            <w:pPr>
              <w:contextualSpacing/>
              <w:jc w:val="right"/>
              <w:rPr>
                <w:rFonts w:cstheme="minorHAnsi"/>
              </w:rPr>
            </w:pPr>
            <w:r w:rsidRPr="003916A7">
              <w:rPr>
                <w:rFonts w:cstheme="minorHAnsi"/>
              </w:rPr>
              <w:t>4205 (92.7</w:t>
            </w:r>
            <w:r w:rsidR="00D81417" w:rsidRPr="003916A7">
              <w:rPr>
                <w:rFonts w:cstheme="minorHAnsi"/>
              </w:rPr>
              <w:t>0</w:t>
            </w:r>
            <w:r w:rsidRPr="003916A7">
              <w:rPr>
                <w:rFonts w:cstheme="minorHAnsi"/>
              </w:rPr>
              <w:t>%)</w:t>
            </w:r>
          </w:p>
        </w:tc>
      </w:tr>
      <w:tr w:rsidR="000D5D5A" w14:paraId="14A26574" w14:textId="77777777" w:rsidTr="00BA1A08">
        <w:tc>
          <w:tcPr>
            <w:tcW w:w="5575" w:type="dxa"/>
          </w:tcPr>
          <w:p w14:paraId="7551BA08" w14:textId="77777777" w:rsidR="000D5D5A" w:rsidRPr="003916A7" w:rsidRDefault="000D5D5A" w:rsidP="000D5D5A">
            <w:pPr>
              <w:ind w:left="720"/>
              <w:contextualSpacing/>
              <w:rPr>
                <w:rFonts w:cstheme="minorHAnsi"/>
              </w:rPr>
            </w:pPr>
            <w:r w:rsidRPr="003916A7">
              <w:rPr>
                <w:rFonts w:cstheme="minorHAnsi"/>
              </w:rPr>
              <w:t>Hispanic</w:t>
            </w:r>
          </w:p>
        </w:tc>
        <w:tc>
          <w:tcPr>
            <w:tcW w:w="2070" w:type="dxa"/>
          </w:tcPr>
          <w:p w14:paraId="5B5AAFD4" w14:textId="30FD2008" w:rsidR="000D5D5A" w:rsidRPr="003916A7" w:rsidRDefault="002F2726" w:rsidP="000D5D5A">
            <w:pPr>
              <w:contextualSpacing/>
              <w:jc w:val="right"/>
              <w:rPr>
                <w:rFonts w:cstheme="minorHAnsi"/>
              </w:rPr>
            </w:pPr>
            <w:r w:rsidRPr="003916A7">
              <w:rPr>
                <w:rFonts w:cstheme="minorHAnsi"/>
              </w:rPr>
              <w:t>178 (2.64</w:t>
            </w:r>
            <w:r w:rsidR="00307F40" w:rsidRPr="003916A7">
              <w:rPr>
                <w:rFonts w:cstheme="minorHAnsi"/>
              </w:rPr>
              <w:t>%</w:t>
            </w:r>
            <w:r w:rsidRPr="003916A7">
              <w:rPr>
                <w:rFonts w:cstheme="minorHAnsi"/>
              </w:rPr>
              <w:t>)</w:t>
            </w:r>
          </w:p>
        </w:tc>
        <w:tc>
          <w:tcPr>
            <w:tcW w:w="1890" w:type="dxa"/>
          </w:tcPr>
          <w:p w14:paraId="411839A6" w14:textId="79C29EE1" w:rsidR="000D5D5A" w:rsidRPr="003916A7" w:rsidRDefault="00307F40" w:rsidP="000D5D5A">
            <w:pPr>
              <w:contextualSpacing/>
              <w:jc w:val="right"/>
              <w:rPr>
                <w:rFonts w:cstheme="minorHAnsi"/>
              </w:rPr>
            </w:pPr>
            <w:r w:rsidRPr="003916A7">
              <w:rPr>
                <w:rFonts w:cstheme="minorHAnsi"/>
              </w:rPr>
              <w:t>98 (2.16%)</w:t>
            </w:r>
          </w:p>
        </w:tc>
      </w:tr>
      <w:tr w:rsidR="000D5D5A" w14:paraId="272D1960" w14:textId="77777777" w:rsidTr="00BA1A08">
        <w:tc>
          <w:tcPr>
            <w:tcW w:w="5575" w:type="dxa"/>
          </w:tcPr>
          <w:p w14:paraId="351AE1F7" w14:textId="77777777" w:rsidR="000D5D5A" w:rsidRPr="003916A7" w:rsidRDefault="000D5D5A" w:rsidP="000D5D5A">
            <w:pPr>
              <w:ind w:left="720"/>
              <w:contextualSpacing/>
              <w:rPr>
                <w:rFonts w:cstheme="minorHAnsi"/>
              </w:rPr>
            </w:pPr>
            <w:r w:rsidRPr="003916A7">
              <w:rPr>
                <w:rFonts w:cstheme="minorHAnsi"/>
              </w:rPr>
              <w:t>Other</w:t>
            </w:r>
          </w:p>
        </w:tc>
        <w:tc>
          <w:tcPr>
            <w:tcW w:w="2070" w:type="dxa"/>
          </w:tcPr>
          <w:p w14:paraId="635B9DDD" w14:textId="3A5624FC" w:rsidR="000D5D5A" w:rsidRPr="003916A7" w:rsidRDefault="00307F40" w:rsidP="000D5D5A">
            <w:pPr>
              <w:contextualSpacing/>
              <w:jc w:val="right"/>
              <w:rPr>
                <w:rFonts w:cstheme="minorHAnsi"/>
              </w:rPr>
            </w:pPr>
            <w:r w:rsidRPr="003916A7">
              <w:rPr>
                <w:rFonts w:cstheme="minorHAnsi"/>
              </w:rPr>
              <w:t>102 (1.51%)</w:t>
            </w:r>
          </w:p>
        </w:tc>
        <w:tc>
          <w:tcPr>
            <w:tcW w:w="1890" w:type="dxa"/>
          </w:tcPr>
          <w:p w14:paraId="4CC41F05" w14:textId="15D5AC25" w:rsidR="000D5D5A" w:rsidRPr="003916A7" w:rsidRDefault="00307F40" w:rsidP="000D5D5A">
            <w:pPr>
              <w:contextualSpacing/>
              <w:jc w:val="right"/>
              <w:rPr>
                <w:rFonts w:cstheme="minorHAnsi"/>
              </w:rPr>
            </w:pPr>
            <w:r w:rsidRPr="003916A7">
              <w:rPr>
                <w:rFonts w:cstheme="minorHAnsi"/>
              </w:rPr>
              <w:t>73 (1.61%)</w:t>
            </w:r>
          </w:p>
        </w:tc>
      </w:tr>
      <w:tr w:rsidR="000D5D5A" w14:paraId="4FCBA959" w14:textId="77777777" w:rsidTr="00BA1A08">
        <w:tc>
          <w:tcPr>
            <w:tcW w:w="5575" w:type="dxa"/>
          </w:tcPr>
          <w:p w14:paraId="08334222" w14:textId="77777777" w:rsidR="000D5D5A" w:rsidRPr="003916A7" w:rsidRDefault="000D5D5A" w:rsidP="000D5D5A">
            <w:pPr>
              <w:contextualSpacing/>
              <w:rPr>
                <w:rFonts w:cstheme="minorHAnsi"/>
              </w:rPr>
            </w:pPr>
            <w:r w:rsidRPr="003916A7">
              <w:rPr>
                <w:rFonts w:cstheme="minorHAnsi"/>
              </w:rPr>
              <w:t>Bilateral procedure: Yes (vs. No)</w:t>
            </w:r>
          </w:p>
        </w:tc>
        <w:tc>
          <w:tcPr>
            <w:tcW w:w="2070" w:type="dxa"/>
          </w:tcPr>
          <w:p w14:paraId="317CC60E" w14:textId="7BC894BA" w:rsidR="000D5D5A" w:rsidRPr="003916A7" w:rsidRDefault="000D5D5A" w:rsidP="000D5D5A">
            <w:pPr>
              <w:contextualSpacing/>
              <w:jc w:val="right"/>
              <w:rPr>
                <w:rFonts w:cstheme="minorHAnsi"/>
              </w:rPr>
            </w:pPr>
            <w:r w:rsidRPr="003916A7">
              <w:rPr>
                <w:rFonts w:cstheme="minorHAnsi"/>
              </w:rPr>
              <w:t xml:space="preserve">31 (0.46%)                 </w:t>
            </w:r>
          </w:p>
        </w:tc>
        <w:tc>
          <w:tcPr>
            <w:tcW w:w="1890" w:type="dxa"/>
          </w:tcPr>
          <w:p w14:paraId="1AC6C74D" w14:textId="4139BDB1" w:rsidR="000D5D5A" w:rsidRPr="003916A7" w:rsidRDefault="000D5D5A" w:rsidP="000D5D5A">
            <w:pPr>
              <w:contextualSpacing/>
              <w:jc w:val="right"/>
              <w:rPr>
                <w:rFonts w:cstheme="minorHAnsi"/>
              </w:rPr>
            </w:pPr>
            <w:r w:rsidRPr="003916A7">
              <w:rPr>
                <w:rFonts w:cstheme="minorHAnsi"/>
              </w:rPr>
              <w:t>35 (0.77%)</w:t>
            </w:r>
          </w:p>
        </w:tc>
      </w:tr>
      <w:tr w:rsidR="000D5D5A" w14:paraId="1038C026" w14:textId="77777777" w:rsidTr="00BA1A08">
        <w:tc>
          <w:tcPr>
            <w:tcW w:w="5575" w:type="dxa"/>
          </w:tcPr>
          <w:p w14:paraId="532CA2E2" w14:textId="4CF6FC0D" w:rsidR="000D5D5A" w:rsidRPr="003916A7" w:rsidRDefault="000D5D5A" w:rsidP="000D5D5A">
            <w:pPr>
              <w:contextualSpacing/>
              <w:rPr>
                <w:rFonts w:cstheme="minorHAnsi"/>
              </w:rPr>
            </w:pPr>
            <w:r w:rsidRPr="003916A7">
              <w:rPr>
                <w:rFonts w:cstheme="minorHAnsi"/>
              </w:rPr>
              <w:t>Health Literacy (Comfort Filling Out Medical Forms by Yourself):   None</w:t>
            </w:r>
          </w:p>
        </w:tc>
        <w:tc>
          <w:tcPr>
            <w:tcW w:w="2070" w:type="dxa"/>
          </w:tcPr>
          <w:p w14:paraId="25C5B29A" w14:textId="77777777" w:rsidR="000D5D5A" w:rsidRPr="003916A7" w:rsidRDefault="000D5D5A" w:rsidP="000D5D5A">
            <w:pPr>
              <w:jc w:val="right"/>
              <w:rPr>
                <w:rFonts w:cstheme="minorHAnsi"/>
              </w:rPr>
            </w:pPr>
          </w:p>
          <w:p w14:paraId="727192FD" w14:textId="2C61940A" w:rsidR="000D5D5A" w:rsidRPr="003916A7" w:rsidRDefault="000D5D5A" w:rsidP="000D5D5A">
            <w:pPr>
              <w:contextualSpacing/>
              <w:jc w:val="right"/>
              <w:rPr>
                <w:rFonts w:cstheme="minorHAnsi"/>
              </w:rPr>
            </w:pPr>
            <w:r w:rsidRPr="003916A7">
              <w:rPr>
                <w:rFonts w:cstheme="minorHAnsi"/>
              </w:rPr>
              <w:t>1000 (14.85%)</w:t>
            </w:r>
          </w:p>
        </w:tc>
        <w:tc>
          <w:tcPr>
            <w:tcW w:w="1890" w:type="dxa"/>
          </w:tcPr>
          <w:p w14:paraId="5A746203" w14:textId="77777777" w:rsidR="000D5D5A" w:rsidRPr="003916A7" w:rsidRDefault="000D5D5A" w:rsidP="000D5D5A">
            <w:pPr>
              <w:jc w:val="right"/>
              <w:rPr>
                <w:rFonts w:cstheme="minorHAnsi"/>
              </w:rPr>
            </w:pPr>
          </w:p>
          <w:p w14:paraId="0A20DA6A" w14:textId="3DE0FF22" w:rsidR="000D5D5A" w:rsidRPr="003916A7" w:rsidRDefault="000D5D5A" w:rsidP="000D5D5A">
            <w:pPr>
              <w:contextualSpacing/>
              <w:jc w:val="right"/>
              <w:rPr>
                <w:rFonts w:cstheme="minorHAnsi"/>
              </w:rPr>
            </w:pPr>
            <w:r w:rsidRPr="003916A7">
              <w:rPr>
                <w:rFonts w:cstheme="minorHAnsi"/>
              </w:rPr>
              <w:t>663 (14.62%)</w:t>
            </w:r>
          </w:p>
        </w:tc>
      </w:tr>
      <w:tr w:rsidR="000D5D5A" w14:paraId="7B787628" w14:textId="77777777" w:rsidTr="00BA1A08">
        <w:tc>
          <w:tcPr>
            <w:tcW w:w="5575" w:type="dxa"/>
          </w:tcPr>
          <w:p w14:paraId="6C30329E" w14:textId="77777777" w:rsidR="000D5D5A" w:rsidRPr="003916A7" w:rsidRDefault="000D5D5A" w:rsidP="000D5D5A">
            <w:pPr>
              <w:ind w:left="1008"/>
              <w:contextualSpacing/>
              <w:rPr>
                <w:rFonts w:cstheme="minorHAnsi"/>
              </w:rPr>
            </w:pPr>
            <w:r w:rsidRPr="003916A7">
              <w:rPr>
                <w:rFonts w:cstheme="minorHAnsi"/>
              </w:rPr>
              <w:t>A little bit</w:t>
            </w:r>
          </w:p>
        </w:tc>
        <w:tc>
          <w:tcPr>
            <w:tcW w:w="2070" w:type="dxa"/>
          </w:tcPr>
          <w:p w14:paraId="1012B5D0" w14:textId="36791229" w:rsidR="000D5D5A" w:rsidRPr="003916A7" w:rsidRDefault="000D5D5A" w:rsidP="000D5D5A">
            <w:pPr>
              <w:contextualSpacing/>
              <w:jc w:val="right"/>
              <w:rPr>
                <w:rFonts w:cstheme="minorHAnsi"/>
              </w:rPr>
            </w:pPr>
            <w:r w:rsidRPr="003916A7">
              <w:rPr>
                <w:rFonts w:cstheme="minorHAnsi"/>
              </w:rPr>
              <w:t>518 (7.69%)</w:t>
            </w:r>
          </w:p>
        </w:tc>
        <w:tc>
          <w:tcPr>
            <w:tcW w:w="1890" w:type="dxa"/>
          </w:tcPr>
          <w:p w14:paraId="38D59AF2" w14:textId="5F2EF642" w:rsidR="000D5D5A" w:rsidRPr="003916A7" w:rsidRDefault="000D5D5A" w:rsidP="000D5D5A">
            <w:pPr>
              <w:contextualSpacing/>
              <w:jc w:val="right"/>
              <w:rPr>
                <w:rFonts w:cstheme="minorHAnsi"/>
              </w:rPr>
            </w:pPr>
            <w:r w:rsidRPr="003916A7">
              <w:rPr>
                <w:rFonts w:cstheme="minorHAnsi"/>
              </w:rPr>
              <w:t>352 (7.76%)</w:t>
            </w:r>
          </w:p>
        </w:tc>
      </w:tr>
      <w:tr w:rsidR="000D5D5A" w14:paraId="289C9D07" w14:textId="77777777" w:rsidTr="00BA1A08">
        <w:tc>
          <w:tcPr>
            <w:tcW w:w="5575" w:type="dxa"/>
          </w:tcPr>
          <w:p w14:paraId="5759DE15" w14:textId="77777777" w:rsidR="000D5D5A" w:rsidRPr="003916A7" w:rsidRDefault="000D5D5A" w:rsidP="000D5D5A">
            <w:pPr>
              <w:ind w:left="1008"/>
              <w:contextualSpacing/>
              <w:rPr>
                <w:rFonts w:cstheme="minorHAnsi"/>
              </w:rPr>
            </w:pPr>
            <w:r w:rsidRPr="003916A7">
              <w:rPr>
                <w:rFonts w:cstheme="minorHAnsi"/>
              </w:rPr>
              <w:t>Somewhat</w:t>
            </w:r>
          </w:p>
        </w:tc>
        <w:tc>
          <w:tcPr>
            <w:tcW w:w="2070" w:type="dxa"/>
          </w:tcPr>
          <w:p w14:paraId="2DA9A7B8" w14:textId="5DBA7028" w:rsidR="000D5D5A" w:rsidRPr="003916A7" w:rsidRDefault="000D5D5A" w:rsidP="000D5D5A">
            <w:pPr>
              <w:contextualSpacing/>
              <w:jc w:val="right"/>
              <w:rPr>
                <w:rFonts w:cstheme="minorHAnsi"/>
              </w:rPr>
            </w:pPr>
            <w:r w:rsidRPr="003916A7">
              <w:rPr>
                <w:rFonts w:cstheme="minorHAnsi"/>
              </w:rPr>
              <w:t>775 (11.51%)</w:t>
            </w:r>
          </w:p>
        </w:tc>
        <w:tc>
          <w:tcPr>
            <w:tcW w:w="1890" w:type="dxa"/>
          </w:tcPr>
          <w:p w14:paraId="6093FA62" w14:textId="0A512E6E" w:rsidR="000D5D5A" w:rsidRPr="003916A7" w:rsidRDefault="000D5D5A" w:rsidP="000D5D5A">
            <w:pPr>
              <w:contextualSpacing/>
              <w:jc w:val="right"/>
              <w:rPr>
                <w:rFonts w:cstheme="minorHAnsi"/>
              </w:rPr>
            </w:pPr>
            <w:r w:rsidRPr="003916A7">
              <w:rPr>
                <w:rFonts w:cstheme="minorHAnsi"/>
              </w:rPr>
              <w:t>524 (11.55%)</w:t>
            </w:r>
          </w:p>
        </w:tc>
      </w:tr>
      <w:tr w:rsidR="000D5D5A" w14:paraId="32F402FB" w14:textId="77777777" w:rsidTr="00BA1A08">
        <w:tc>
          <w:tcPr>
            <w:tcW w:w="5575" w:type="dxa"/>
          </w:tcPr>
          <w:p w14:paraId="1B40EABD" w14:textId="77777777" w:rsidR="000D5D5A" w:rsidRPr="003916A7" w:rsidRDefault="000D5D5A" w:rsidP="000D5D5A">
            <w:pPr>
              <w:ind w:left="1008"/>
              <w:contextualSpacing/>
              <w:rPr>
                <w:rFonts w:cstheme="minorHAnsi"/>
              </w:rPr>
            </w:pPr>
            <w:r w:rsidRPr="003916A7">
              <w:rPr>
                <w:rFonts w:cstheme="minorHAnsi"/>
              </w:rPr>
              <w:t>Quite a bit</w:t>
            </w:r>
          </w:p>
        </w:tc>
        <w:tc>
          <w:tcPr>
            <w:tcW w:w="2070" w:type="dxa"/>
          </w:tcPr>
          <w:p w14:paraId="247A1C4B" w14:textId="546D9063" w:rsidR="000D5D5A" w:rsidRPr="003916A7" w:rsidRDefault="000D5D5A" w:rsidP="000D5D5A">
            <w:pPr>
              <w:contextualSpacing/>
              <w:jc w:val="right"/>
              <w:rPr>
                <w:rFonts w:cstheme="minorHAnsi"/>
              </w:rPr>
            </w:pPr>
            <w:r w:rsidRPr="003916A7">
              <w:rPr>
                <w:rFonts w:cstheme="minorHAnsi"/>
              </w:rPr>
              <w:t>1192 (17.70%)</w:t>
            </w:r>
          </w:p>
        </w:tc>
        <w:tc>
          <w:tcPr>
            <w:tcW w:w="1890" w:type="dxa"/>
          </w:tcPr>
          <w:p w14:paraId="7B9C3598" w14:textId="676EDFBD" w:rsidR="000D5D5A" w:rsidRPr="003916A7" w:rsidRDefault="000D5D5A" w:rsidP="000D5D5A">
            <w:pPr>
              <w:contextualSpacing/>
              <w:jc w:val="right"/>
              <w:rPr>
                <w:rFonts w:cstheme="minorHAnsi"/>
              </w:rPr>
            </w:pPr>
            <w:r w:rsidRPr="003916A7">
              <w:rPr>
                <w:rFonts w:cstheme="minorHAnsi"/>
              </w:rPr>
              <w:t>853 (18.81%)</w:t>
            </w:r>
          </w:p>
        </w:tc>
      </w:tr>
      <w:tr w:rsidR="000D5D5A" w14:paraId="113C67DE" w14:textId="77777777" w:rsidTr="00BA1A08">
        <w:tc>
          <w:tcPr>
            <w:tcW w:w="5575" w:type="dxa"/>
          </w:tcPr>
          <w:p w14:paraId="56231646" w14:textId="77777777" w:rsidR="000D5D5A" w:rsidRPr="003916A7" w:rsidRDefault="000D5D5A" w:rsidP="000D5D5A">
            <w:pPr>
              <w:ind w:left="1008"/>
              <w:contextualSpacing/>
              <w:rPr>
                <w:rFonts w:cstheme="minorHAnsi"/>
              </w:rPr>
            </w:pPr>
            <w:r w:rsidRPr="003916A7">
              <w:rPr>
                <w:rFonts w:cstheme="minorHAnsi"/>
              </w:rPr>
              <w:t>Extremely</w:t>
            </w:r>
          </w:p>
        </w:tc>
        <w:tc>
          <w:tcPr>
            <w:tcW w:w="2070" w:type="dxa"/>
          </w:tcPr>
          <w:p w14:paraId="1B1A5306" w14:textId="0A490859" w:rsidR="000D5D5A" w:rsidRPr="003916A7" w:rsidRDefault="000D5D5A" w:rsidP="000D5D5A">
            <w:pPr>
              <w:contextualSpacing/>
              <w:jc w:val="right"/>
              <w:rPr>
                <w:rFonts w:cstheme="minorHAnsi"/>
              </w:rPr>
            </w:pPr>
            <w:r w:rsidRPr="003916A7">
              <w:rPr>
                <w:rFonts w:cstheme="minorHAnsi"/>
              </w:rPr>
              <w:t>3249 (48.25%)</w:t>
            </w:r>
          </w:p>
        </w:tc>
        <w:tc>
          <w:tcPr>
            <w:tcW w:w="1890" w:type="dxa"/>
          </w:tcPr>
          <w:p w14:paraId="5BEFCD9E" w14:textId="238A5531" w:rsidR="000D5D5A" w:rsidRPr="003916A7" w:rsidRDefault="000D5D5A" w:rsidP="000D5D5A">
            <w:pPr>
              <w:contextualSpacing/>
              <w:jc w:val="right"/>
              <w:rPr>
                <w:rFonts w:cstheme="minorHAnsi"/>
              </w:rPr>
            </w:pPr>
            <w:r w:rsidRPr="003916A7">
              <w:rPr>
                <w:rFonts w:cstheme="minorHAnsi"/>
              </w:rPr>
              <w:t>2144 (47.27%)</w:t>
            </w:r>
          </w:p>
        </w:tc>
      </w:tr>
      <w:tr w:rsidR="000D5D5A" w14:paraId="56A6AEE2" w14:textId="77777777" w:rsidTr="00BA1A08">
        <w:tc>
          <w:tcPr>
            <w:tcW w:w="5575" w:type="dxa"/>
            <w:vAlign w:val="bottom"/>
          </w:tcPr>
          <w:p w14:paraId="62B0DC55" w14:textId="77777777" w:rsidR="003916A7" w:rsidRDefault="000D5D5A" w:rsidP="003916A7">
            <w:pPr>
              <w:contextualSpacing/>
              <w:rPr>
                <w:rFonts w:cstheme="minorHAnsi"/>
                <w:color w:val="000000"/>
              </w:rPr>
            </w:pPr>
            <w:r w:rsidRPr="003916A7">
              <w:rPr>
                <w:rFonts w:cstheme="minorHAnsi"/>
                <w:color w:val="000000"/>
              </w:rPr>
              <w:t>Patient-Reported Back P</w:t>
            </w:r>
            <w:r w:rsidR="003916A7" w:rsidRPr="003916A7">
              <w:rPr>
                <w:rFonts w:cstheme="minorHAnsi"/>
                <w:color w:val="000000"/>
              </w:rPr>
              <w:t xml:space="preserve">ain (Oswestry Index Question): </w:t>
            </w:r>
            <w:r w:rsidR="003916A7">
              <w:rPr>
                <w:rFonts w:cstheme="minorHAnsi"/>
                <w:color w:val="000000"/>
              </w:rPr>
              <w:t xml:space="preserve">     </w:t>
            </w:r>
          </w:p>
          <w:p w14:paraId="556971F6" w14:textId="5E1E57B2" w:rsidR="000D5D5A" w:rsidRPr="003916A7" w:rsidRDefault="003916A7" w:rsidP="003916A7">
            <w:pPr>
              <w:contextualSpacing/>
              <w:rPr>
                <w:rFonts w:cstheme="minorHAnsi"/>
                <w:color w:val="000000"/>
              </w:rPr>
            </w:pPr>
            <w:r>
              <w:rPr>
                <w:rFonts w:cstheme="minorHAnsi"/>
                <w:color w:val="000000"/>
              </w:rPr>
              <w:t xml:space="preserve">                     N</w:t>
            </w:r>
            <w:r w:rsidR="000D5D5A" w:rsidRPr="003916A7">
              <w:rPr>
                <w:rFonts w:cstheme="minorHAnsi"/>
                <w:color w:val="000000"/>
              </w:rPr>
              <w:t>one</w:t>
            </w:r>
          </w:p>
        </w:tc>
        <w:tc>
          <w:tcPr>
            <w:tcW w:w="2070" w:type="dxa"/>
          </w:tcPr>
          <w:p w14:paraId="2689AFFC" w14:textId="77777777" w:rsidR="000D5D5A" w:rsidRPr="003916A7" w:rsidRDefault="000D5D5A" w:rsidP="000D5D5A">
            <w:pPr>
              <w:contextualSpacing/>
              <w:jc w:val="right"/>
              <w:rPr>
                <w:rFonts w:cstheme="minorHAnsi"/>
              </w:rPr>
            </w:pPr>
          </w:p>
          <w:p w14:paraId="4945BAB1" w14:textId="3429114E" w:rsidR="000D5D5A" w:rsidRPr="003916A7" w:rsidRDefault="000D5D5A" w:rsidP="000D5D5A">
            <w:pPr>
              <w:contextualSpacing/>
              <w:jc w:val="right"/>
              <w:rPr>
                <w:rFonts w:cstheme="minorHAnsi"/>
              </w:rPr>
            </w:pPr>
            <w:r w:rsidRPr="003916A7">
              <w:rPr>
                <w:rFonts w:cstheme="minorHAnsi"/>
              </w:rPr>
              <w:t>2562 (38.05%)</w:t>
            </w:r>
          </w:p>
        </w:tc>
        <w:tc>
          <w:tcPr>
            <w:tcW w:w="1890" w:type="dxa"/>
          </w:tcPr>
          <w:p w14:paraId="0D42BFCA" w14:textId="77777777" w:rsidR="000D5D5A" w:rsidRPr="003916A7" w:rsidRDefault="000D5D5A" w:rsidP="000D5D5A">
            <w:pPr>
              <w:contextualSpacing/>
              <w:jc w:val="right"/>
              <w:rPr>
                <w:rFonts w:cstheme="minorHAnsi"/>
              </w:rPr>
            </w:pPr>
          </w:p>
          <w:p w14:paraId="1317E75A" w14:textId="7F8ADCBA" w:rsidR="000D5D5A" w:rsidRPr="003916A7" w:rsidRDefault="000D5D5A" w:rsidP="000D5D5A">
            <w:pPr>
              <w:contextualSpacing/>
              <w:jc w:val="right"/>
              <w:rPr>
                <w:rFonts w:cstheme="minorHAnsi"/>
              </w:rPr>
            </w:pPr>
            <w:r w:rsidRPr="003916A7">
              <w:rPr>
                <w:rFonts w:cstheme="minorHAnsi"/>
              </w:rPr>
              <w:t>1754 (38.67%)</w:t>
            </w:r>
          </w:p>
        </w:tc>
      </w:tr>
      <w:tr w:rsidR="000D5D5A" w14:paraId="6BCEE16E" w14:textId="77777777" w:rsidTr="00BA1A08">
        <w:tc>
          <w:tcPr>
            <w:tcW w:w="5575" w:type="dxa"/>
            <w:vAlign w:val="bottom"/>
          </w:tcPr>
          <w:p w14:paraId="538FF91B" w14:textId="77777777" w:rsidR="000D5D5A" w:rsidRPr="003916A7" w:rsidRDefault="000D5D5A" w:rsidP="000D5D5A">
            <w:pPr>
              <w:ind w:left="1008"/>
              <w:contextualSpacing/>
              <w:rPr>
                <w:rFonts w:cstheme="minorHAnsi"/>
              </w:rPr>
            </w:pPr>
            <w:r w:rsidRPr="003916A7">
              <w:rPr>
                <w:rFonts w:cstheme="minorHAnsi"/>
                <w:color w:val="000000"/>
              </w:rPr>
              <w:t>Very Mild</w:t>
            </w:r>
          </w:p>
        </w:tc>
        <w:tc>
          <w:tcPr>
            <w:tcW w:w="2070" w:type="dxa"/>
          </w:tcPr>
          <w:p w14:paraId="555454F4" w14:textId="38CA5E48" w:rsidR="000D5D5A" w:rsidRPr="003916A7" w:rsidRDefault="000D5D5A" w:rsidP="000D5D5A">
            <w:pPr>
              <w:contextualSpacing/>
              <w:jc w:val="right"/>
              <w:rPr>
                <w:rFonts w:cstheme="minorHAnsi"/>
              </w:rPr>
            </w:pPr>
            <w:r w:rsidRPr="003916A7">
              <w:rPr>
                <w:rFonts w:cstheme="minorHAnsi"/>
              </w:rPr>
              <w:t>1661 (24.67%)</w:t>
            </w:r>
          </w:p>
        </w:tc>
        <w:tc>
          <w:tcPr>
            <w:tcW w:w="1890" w:type="dxa"/>
          </w:tcPr>
          <w:p w14:paraId="1F4BEDCF" w14:textId="3368E2B5" w:rsidR="000D5D5A" w:rsidRPr="003916A7" w:rsidRDefault="000D5D5A" w:rsidP="000D5D5A">
            <w:pPr>
              <w:contextualSpacing/>
              <w:jc w:val="right"/>
              <w:rPr>
                <w:rFonts w:cstheme="minorHAnsi"/>
              </w:rPr>
            </w:pPr>
            <w:r w:rsidRPr="003916A7">
              <w:rPr>
                <w:rFonts w:cstheme="minorHAnsi"/>
              </w:rPr>
              <w:t>1074 (23.68%)</w:t>
            </w:r>
          </w:p>
        </w:tc>
      </w:tr>
      <w:tr w:rsidR="000D5D5A" w14:paraId="18485849" w14:textId="77777777" w:rsidTr="00BA1A08">
        <w:tc>
          <w:tcPr>
            <w:tcW w:w="5575" w:type="dxa"/>
            <w:vAlign w:val="bottom"/>
          </w:tcPr>
          <w:p w14:paraId="7AAB2A2D" w14:textId="77777777" w:rsidR="000D5D5A" w:rsidRPr="003916A7" w:rsidRDefault="000D5D5A" w:rsidP="000D5D5A">
            <w:pPr>
              <w:ind w:left="1008"/>
              <w:contextualSpacing/>
              <w:rPr>
                <w:rFonts w:cstheme="minorHAnsi"/>
              </w:rPr>
            </w:pPr>
            <w:r w:rsidRPr="003916A7">
              <w:rPr>
                <w:rFonts w:cstheme="minorHAnsi"/>
                <w:color w:val="000000"/>
              </w:rPr>
              <w:t>Moderate</w:t>
            </w:r>
          </w:p>
        </w:tc>
        <w:tc>
          <w:tcPr>
            <w:tcW w:w="2070" w:type="dxa"/>
          </w:tcPr>
          <w:p w14:paraId="137DEBDF" w14:textId="468FC281" w:rsidR="000D5D5A" w:rsidRPr="003916A7" w:rsidRDefault="000D5D5A" w:rsidP="000D5D5A">
            <w:pPr>
              <w:contextualSpacing/>
              <w:jc w:val="right"/>
              <w:rPr>
                <w:rFonts w:cstheme="minorHAnsi"/>
              </w:rPr>
            </w:pPr>
            <w:r w:rsidRPr="003916A7">
              <w:rPr>
                <w:rFonts w:cstheme="minorHAnsi"/>
              </w:rPr>
              <w:t>1706 (25.33%)</w:t>
            </w:r>
          </w:p>
        </w:tc>
        <w:tc>
          <w:tcPr>
            <w:tcW w:w="1890" w:type="dxa"/>
          </w:tcPr>
          <w:p w14:paraId="60CE96A9" w14:textId="59CE0B6D" w:rsidR="000D5D5A" w:rsidRPr="003916A7" w:rsidRDefault="000D5D5A" w:rsidP="000D5D5A">
            <w:pPr>
              <w:contextualSpacing/>
              <w:jc w:val="right"/>
              <w:rPr>
                <w:rFonts w:cstheme="minorHAnsi"/>
              </w:rPr>
            </w:pPr>
            <w:r w:rsidRPr="003916A7">
              <w:rPr>
                <w:rFonts w:cstheme="minorHAnsi"/>
              </w:rPr>
              <w:t>1156 (25.49%)</w:t>
            </w:r>
          </w:p>
        </w:tc>
      </w:tr>
      <w:tr w:rsidR="000D5D5A" w14:paraId="524DD931" w14:textId="77777777" w:rsidTr="00BA1A08">
        <w:tc>
          <w:tcPr>
            <w:tcW w:w="5575" w:type="dxa"/>
            <w:vAlign w:val="bottom"/>
          </w:tcPr>
          <w:p w14:paraId="2A6F9B3F" w14:textId="77777777" w:rsidR="000D5D5A" w:rsidRPr="003916A7" w:rsidRDefault="000D5D5A" w:rsidP="000D5D5A">
            <w:pPr>
              <w:ind w:left="1008"/>
              <w:contextualSpacing/>
              <w:rPr>
                <w:rFonts w:cstheme="minorHAnsi"/>
              </w:rPr>
            </w:pPr>
            <w:r w:rsidRPr="003916A7">
              <w:rPr>
                <w:rFonts w:cstheme="minorHAnsi"/>
                <w:color w:val="000000"/>
              </w:rPr>
              <w:t>Fairly Severe</w:t>
            </w:r>
          </w:p>
        </w:tc>
        <w:tc>
          <w:tcPr>
            <w:tcW w:w="2070" w:type="dxa"/>
          </w:tcPr>
          <w:p w14:paraId="16A3989B" w14:textId="27AA1C58" w:rsidR="000D5D5A" w:rsidRPr="003916A7" w:rsidRDefault="000D5D5A" w:rsidP="000D5D5A">
            <w:pPr>
              <w:contextualSpacing/>
              <w:jc w:val="right"/>
              <w:rPr>
                <w:rFonts w:cstheme="minorHAnsi"/>
              </w:rPr>
            </w:pPr>
            <w:r w:rsidRPr="003916A7">
              <w:rPr>
                <w:rFonts w:cstheme="minorHAnsi"/>
              </w:rPr>
              <w:t>570 (8.46%)</w:t>
            </w:r>
          </w:p>
        </w:tc>
        <w:tc>
          <w:tcPr>
            <w:tcW w:w="1890" w:type="dxa"/>
          </w:tcPr>
          <w:p w14:paraId="1D22282F" w14:textId="440E11B1" w:rsidR="000D5D5A" w:rsidRPr="003916A7" w:rsidRDefault="000D5D5A" w:rsidP="000D5D5A">
            <w:pPr>
              <w:contextualSpacing/>
              <w:jc w:val="right"/>
              <w:rPr>
                <w:rFonts w:cstheme="minorHAnsi"/>
              </w:rPr>
            </w:pPr>
            <w:r w:rsidRPr="003916A7">
              <w:rPr>
                <w:rFonts w:cstheme="minorHAnsi"/>
              </w:rPr>
              <w:t>391 (8.62%)</w:t>
            </w:r>
          </w:p>
        </w:tc>
      </w:tr>
      <w:tr w:rsidR="000D5D5A" w14:paraId="3EE1AB2D" w14:textId="77777777" w:rsidTr="00BA1A08">
        <w:tc>
          <w:tcPr>
            <w:tcW w:w="5575" w:type="dxa"/>
            <w:vAlign w:val="bottom"/>
          </w:tcPr>
          <w:p w14:paraId="0F920705" w14:textId="77777777" w:rsidR="000D5D5A" w:rsidRPr="003916A7" w:rsidRDefault="000D5D5A" w:rsidP="000D5D5A">
            <w:pPr>
              <w:ind w:left="1008"/>
              <w:contextualSpacing/>
              <w:rPr>
                <w:rFonts w:cstheme="minorHAnsi"/>
              </w:rPr>
            </w:pPr>
            <w:r w:rsidRPr="003916A7">
              <w:rPr>
                <w:rFonts w:cstheme="minorHAnsi"/>
                <w:color w:val="000000"/>
              </w:rPr>
              <w:t xml:space="preserve">Very Severe/Worst Imaginable </w:t>
            </w:r>
          </w:p>
        </w:tc>
        <w:tc>
          <w:tcPr>
            <w:tcW w:w="2070" w:type="dxa"/>
          </w:tcPr>
          <w:p w14:paraId="7023F29A" w14:textId="6AC99634" w:rsidR="000D5D5A" w:rsidRPr="003916A7" w:rsidRDefault="000D5D5A" w:rsidP="000D5D5A">
            <w:pPr>
              <w:contextualSpacing/>
              <w:jc w:val="right"/>
              <w:rPr>
                <w:rFonts w:cstheme="minorHAnsi"/>
              </w:rPr>
            </w:pPr>
            <w:r w:rsidRPr="003916A7">
              <w:rPr>
                <w:rFonts w:cstheme="minorHAnsi"/>
              </w:rPr>
              <w:t>235 (3.49%)</w:t>
            </w:r>
          </w:p>
        </w:tc>
        <w:tc>
          <w:tcPr>
            <w:tcW w:w="1890" w:type="dxa"/>
          </w:tcPr>
          <w:p w14:paraId="2E1EE918" w14:textId="5294401A" w:rsidR="000D5D5A" w:rsidRPr="003916A7" w:rsidRDefault="000D5D5A" w:rsidP="000D5D5A">
            <w:pPr>
              <w:contextualSpacing/>
              <w:jc w:val="right"/>
              <w:rPr>
                <w:rFonts w:cstheme="minorHAnsi"/>
              </w:rPr>
            </w:pPr>
            <w:r w:rsidRPr="003916A7">
              <w:rPr>
                <w:rFonts w:cstheme="minorHAnsi"/>
              </w:rPr>
              <w:t>161 (3.55%)</w:t>
            </w:r>
          </w:p>
        </w:tc>
      </w:tr>
      <w:tr w:rsidR="000D5D5A" w14:paraId="57ABF3F5" w14:textId="77777777" w:rsidTr="00BA1A08">
        <w:tc>
          <w:tcPr>
            <w:tcW w:w="5575" w:type="dxa"/>
            <w:vAlign w:val="bottom"/>
          </w:tcPr>
          <w:p w14:paraId="7270AD4B" w14:textId="65C2E03E" w:rsidR="000D5D5A" w:rsidRPr="003916A7" w:rsidRDefault="000D5D5A" w:rsidP="000D5D5A">
            <w:pPr>
              <w:contextualSpacing/>
              <w:rPr>
                <w:rFonts w:cstheme="minorHAnsi"/>
              </w:rPr>
            </w:pPr>
            <w:r w:rsidRPr="003916A7">
              <w:rPr>
                <w:rFonts w:cstheme="minorHAnsi"/>
                <w:color w:val="000000"/>
              </w:rPr>
              <w:lastRenderedPageBreak/>
              <w:t>Patient-Reported Pain in Non-Oper</w:t>
            </w:r>
            <w:r w:rsidR="003916A7" w:rsidRPr="003916A7">
              <w:rPr>
                <w:rFonts w:cstheme="minorHAnsi"/>
                <w:color w:val="000000"/>
              </w:rPr>
              <w:t xml:space="preserve">ative Lower Extremity Joint: </w:t>
            </w:r>
            <w:r w:rsidRPr="003916A7">
              <w:rPr>
                <w:rFonts w:cstheme="minorHAnsi"/>
                <w:color w:val="000000"/>
              </w:rPr>
              <w:t xml:space="preserve"> None</w:t>
            </w:r>
          </w:p>
        </w:tc>
        <w:tc>
          <w:tcPr>
            <w:tcW w:w="2070" w:type="dxa"/>
          </w:tcPr>
          <w:p w14:paraId="4EDBFABA" w14:textId="77777777" w:rsidR="000D5D5A" w:rsidRPr="003916A7" w:rsidRDefault="000D5D5A" w:rsidP="000D5D5A">
            <w:pPr>
              <w:contextualSpacing/>
              <w:jc w:val="right"/>
              <w:rPr>
                <w:rFonts w:cstheme="minorHAnsi"/>
              </w:rPr>
            </w:pPr>
          </w:p>
          <w:p w14:paraId="67B50F2E" w14:textId="5C8AAB56" w:rsidR="000D5D5A" w:rsidRPr="003916A7" w:rsidRDefault="000D5D5A" w:rsidP="000D5D5A">
            <w:pPr>
              <w:contextualSpacing/>
              <w:jc w:val="right"/>
              <w:rPr>
                <w:rFonts w:cstheme="minorHAnsi"/>
              </w:rPr>
            </w:pPr>
            <w:r w:rsidRPr="003916A7">
              <w:rPr>
                <w:rFonts w:cstheme="minorHAnsi"/>
              </w:rPr>
              <w:t>2298 (34.13%)</w:t>
            </w:r>
          </w:p>
        </w:tc>
        <w:tc>
          <w:tcPr>
            <w:tcW w:w="1890" w:type="dxa"/>
          </w:tcPr>
          <w:p w14:paraId="031B11DA" w14:textId="77777777" w:rsidR="000D5D5A" w:rsidRPr="003916A7" w:rsidRDefault="000D5D5A" w:rsidP="000D5D5A">
            <w:pPr>
              <w:jc w:val="right"/>
              <w:rPr>
                <w:rFonts w:cstheme="minorHAnsi"/>
              </w:rPr>
            </w:pPr>
          </w:p>
          <w:p w14:paraId="28143825" w14:textId="40887C50" w:rsidR="000D5D5A" w:rsidRPr="003916A7" w:rsidRDefault="000D5D5A" w:rsidP="000D5D5A">
            <w:pPr>
              <w:contextualSpacing/>
              <w:jc w:val="right"/>
              <w:rPr>
                <w:rFonts w:cstheme="minorHAnsi"/>
              </w:rPr>
            </w:pPr>
            <w:r w:rsidRPr="003916A7">
              <w:rPr>
                <w:rFonts w:cstheme="minorHAnsi"/>
              </w:rPr>
              <w:t>1552 (34.22%)</w:t>
            </w:r>
          </w:p>
        </w:tc>
      </w:tr>
      <w:tr w:rsidR="000D5D5A" w14:paraId="760F7BF7" w14:textId="77777777" w:rsidTr="00BA1A08">
        <w:tc>
          <w:tcPr>
            <w:tcW w:w="5575" w:type="dxa"/>
            <w:vAlign w:val="bottom"/>
          </w:tcPr>
          <w:p w14:paraId="7ABAED32" w14:textId="77777777" w:rsidR="000D5D5A" w:rsidRPr="003916A7" w:rsidRDefault="000D5D5A" w:rsidP="000D5D5A">
            <w:pPr>
              <w:ind w:left="1008"/>
              <w:contextualSpacing/>
              <w:rPr>
                <w:rFonts w:cstheme="minorHAnsi"/>
              </w:rPr>
            </w:pPr>
            <w:r w:rsidRPr="003916A7">
              <w:rPr>
                <w:rFonts w:cstheme="minorHAnsi"/>
                <w:color w:val="000000"/>
              </w:rPr>
              <w:t>Mild</w:t>
            </w:r>
          </w:p>
        </w:tc>
        <w:tc>
          <w:tcPr>
            <w:tcW w:w="2070" w:type="dxa"/>
          </w:tcPr>
          <w:p w14:paraId="702A8648" w14:textId="34CD2765" w:rsidR="000D5D5A" w:rsidRPr="003916A7" w:rsidRDefault="000D5D5A" w:rsidP="000D5D5A">
            <w:pPr>
              <w:contextualSpacing/>
              <w:jc w:val="right"/>
              <w:rPr>
                <w:rFonts w:cstheme="minorHAnsi"/>
              </w:rPr>
            </w:pPr>
            <w:r w:rsidRPr="003916A7">
              <w:rPr>
                <w:rFonts w:cstheme="minorHAnsi"/>
              </w:rPr>
              <w:t>1640 (24.35%)</w:t>
            </w:r>
          </w:p>
        </w:tc>
        <w:tc>
          <w:tcPr>
            <w:tcW w:w="1890" w:type="dxa"/>
          </w:tcPr>
          <w:p w14:paraId="2A6E6062" w14:textId="4F15D1AB" w:rsidR="000D5D5A" w:rsidRPr="003916A7" w:rsidRDefault="000D5D5A" w:rsidP="000D5D5A">
            <w:pPr>
              <w:contextualSpacing/>
              <w:jc w:val="right"/>
              <w:rPr>
                <w:rFonts w:cstheme="minorHAnsi"/>
              </w:rPr>
            </w:pPr>
            <w:r w:rsidRPr="003916A7">
              <w:rPr>
                <w:rFonts w:cstheme="minorHAnsi"/>
              </w:rPr>
              <w:t>1125 (24.80%)</w:t>
            </w:r>
          </w:p>
        </w:tc>
      </w:tr>
      <w:tr w:rsidR="000D5D5A" w14:paraId="00ED59FF" w14:textId="77777777" w:rsidTr="00BA1A08">
        <w:tc>
          <w:tcPr>
            <w:tcW w:w="5575" w:type="dxa"/>
            <w:vAlign w:val="bottom"/>
          </w:tcPr>
          <w:p w14:paraId="4B139E67" w14:textId="77777777" w:rsidR="000D5D5A" w:rsidRPr="003916A7" w:rsidRDefault="000D5D5A" w:rsidP="000D5D5A">
            <w:pPr>
              <w:ind w:left="1008"/>
              <w:contextualSpacing/>
              <w:rPr>
                <w:rFonts w:cstheme="minorHAnsi"/>
              </w:rPr>
            </w:pPr>
            <w:r w:rsidRPr="003916A7">
              <w:rPr>
                <w:rFonts w:cstheme="minorHAnsi"/>
                <w:color w:val="000000"/>
              </w:rPr>
              <w:t>Moderate</w:t>
            </w:r>
          </w:p>
        </w:tc>
        <w:tc>
          <w:tcPr>
            <w:tcW w:w="2070" w:type="dxa"/>
          </w:tcPr>
          <w:p w14:paraId="4AB0B002" w14:textId="07105E72" w:rsidR="000D5D5A" w:rsidRPr="003916A7" w:rsidRDefault="000D5D5A" w:rsidP="000D5D5A">
            <w:pPr>
              <w:contextualSpacing/>
              <w:jc w:val="right"/>
              <w:rPr>
                <w:rFonts w:cstheme="minorHAnsi"/>
              </w:rPr>
            </w:pPr>
            <w:r w:rsidRPr="003916A7">
              <w:rPr>
                <w:rFonts w:cstheme="minorHAnsi"/>
              </w:rPr>
              <w:t>1727 (25.65%)</w:t>
            </w:r>
          </w:p>
        </w:tc>
        <w:tc>
          <w:tcPr>
            <w:tcW w:w="1890" w:type="dxa"/>
          </w:tcPr>
          <w:p w14:paraId="775D075A" w14:textId="13197E57" w:rsidR="000D5D5A" w:rsidRPr="003916A7" w:rsidRDefault="000D5D5A" w:rsidP="000D5D5A">
            <w:pPr>
              <w:contextualSpacing/>
              <w:jc w:val="right"/>
              <w:rPr>
                <w:rFonts w:cstheme="minorHAnsi"/>
              </w:rPr>
            </w:pPr>
            <w:r w:rsidRPr="003916A7">
              <w:rPr>
                <w:rFonts w:cstheme="minorHAnsi"/>
              </w:rPr>
              <w:t>1079 (23.79%)</w:t>
            </w:r>
          </w:p>
        </w:tc>
      </w:tr>
      <w:tr w:rsidR="000D5D5A" w14:paraId="4238F840" w14:textId="77777777" w:rsidTr="00BA1A08">
        <w:tc>
          <w:tcPr>
            <w:tcW w:w="5575" w:type="dxa"/>
            <w:vAlign w:val="bottom"/>
          </w:tcPr>
          <w:p w14:paraId="2CA23B25" w14:textId="77777777" w:rsidR="000D5D5A" w:rsidRPr="003916A7" w:rsidRDefault="000D5D5A" w:rsidP="000D5D5A">
            <w:pPr>
              <w:ind w:left="1008"/>
              <w:contextualSpacing/>
              <w:rPr>
                <w:rFonts w:cstheme="minorHAnsi"/>
              </w:rPr>
            </w:pPr>
            <w:r w:rsidRPr="003916A7">
              <w:rPr>
                <w:rFonts w:cstheme="minorHAnsi"/>
                <w:color w:val="000000"/>
              </w:rPr>
              <w:t>Severe</w:t>
            </w:r>
          </w:p>
        </w:tc>
        <w:tc>
          <w:tcPr>
            <w:tcW w:w="2070" w:type="dxa"/>
          </w:tcPr>
          <w:p w14:paraId="66C3B40F" w14:textId="53CD6C76" w:rsidR="000D5D5A" w:rsidRPr="003916A7" w:rsidRDefault="000D5D5A" w:rsidP="000D5D5A">
            <w:pPr>
              <w:jc w:val="right"/>
              <w:rPr>
                <w:rFonts w:cstheme="minorHAnsi"/>
              </w:rPr>
            </w:pPr>
            <w:r w:rsidRPr="003916A7">
              <w:rPr>
                <w:rFonts w:cstheme="minorHAnsi"/>
              </w:rPr>
              <w:t>856 (12.71%)</w:t>
            </w:r>
          </w:p>
        </w:tc>
        <w:tc>
          <w:tcPr>
            <w:tcW w:w="1890" w:type="dxa"/>
          </w:tcPr>
          <w:p w14:paraId="7CDFA2F0" w14:textId="1AEBB4F5" w:rsidR="000D5D5A" w:rsidRPr="003916A7" w:rsidRDefault="000D5D5A" w:rsidP="000D5D5A">
            <w:pPr>
              <w:jc w:val="right"/>
              <w:rPr>
                <w:rFonts w:cstheme="minorHAnsi"/>
              </w:rPr>
            </w:pPr>
            <w:r w:rsidRPr="003916A7">
              <w:rPr>
                <w:rFonts w:cstheme="minorHAnsi"/>
              </w:rPr>
              <w:t>635 (14.00%)</w:t>
            </w:r>
          </w:p>
        </w:tc>
      </w:tr>
      <w:tr w:rsidR="000D5D5A" w14:paraId="78765E11" w14:textId="77777777" w:rsidTr="00BA1A08">
        <w:tc>
          <w:tcPr>
            <w:tcW w:w="5575" w:type="dxa"/>
            <w:vAlign w:val="bottom"/>
          </w:tcPr>
          <w:p w14:paraId="1E9876BC" w14:textId="77777777" w:rsidR="000D5D5A" w:rsidRPr="003916A7" w:rsidRDefault="000D5D5A" w:rsidP="000D5D5A">
            <w:pPr>
              <w:ind w:left="1008"/>
              <w:contextualSpacing/>
              <w:rPr>
                <w:rFonts w:cstheme="minorHAnsi"/>
              </w:rPr>
            </w:pPr>
            <w:r w:rsidRPr="003916A7">
              <w:rPr>
                <w:rFonts w:cstheme="minorHAnsi"/>
                <w:color w:val="000000"/>
              </w:rPr>
              <w:t>Extreme</w:t>
            </w:r>
          </w:p>
        </w:tc>
        <w:tc>
          <w:tcPr>
            <w:tcW w:w="2070" w:type="dxa"/>
          </w:tcPr>
          <w:p w14:paraId="5A0FC8B6" w14:textId="2D5E1050" w:rsidR="000D5D5A" w:rsidRPr="003916A7" w:rsidRDefault="00A042AB" w:rsidP="000D5D5A">
            <w:pPr>
              <w:contextualSpacing/>
              <w:jc w:val="right"/>
              <w:rPr>
                <w:rFonts w:cstheme="minorHAnsi"/>
              </w:rPr>
            </w:pPr>
            <w:r w:rsidRPr="003916A7">
              <w:rPr>
                <w:rFonts w:cstheme="minorHAnsi"/>
              </w:rPr>
              <w:t xml:space="preserve">213 </w:t>
            </w:r>
            <w:r w:rsidR="000D5D5A" w:rsidRPr="003916A7">
              <w:rPr>
                <w:rFonts w:cstheme="minorHAnsi"/>
              </w:rPr>
              <w:t>(3.16%)</w:t>
            </w:r>
          </w:p>
        </w:tc>
        <w:tc>
          <w:tcPr>
            <w:tcW w:w="1890" w:type="dxa"/>
          </w:tcPr>
          <w:p w14:paraId="2A93D3B9" w14:textId="761B6C47" w:rsidR="000D5D5A" w:rsidRPr="003916A7" w:rsidRDefault="00A042AB" w:rsidP="000D5D5A">
            <w:pPr>
              <w:contextualSpacing/>
              <w:jc w:val="right"/>
              <w:rPr>
                <w:rFonts w:cstheme="minorHAnsi"/>
              </w:rPr>
            </w:pPr>
            <w:r w:rsidRPr="003916A7">
              <w:rPr>
                <w:rFonts w:cstheme="minorHAnsi"/>
              </w:rPr>
              <w:t xml:space="preserve">145 </w:t>
            </w:r>
            <w:r w:rsidR="000D5D5A" w:rsidRPr="003916A7">
              <w:rPr>
                <w:rFonts w:cstheme="minorHAnsi"/>
              </w:rPr>
              <w:t>(3.20%)</w:t>
            </w:r>
          </w:p>
        </w:tc>
      </w:tr>
      <w:tr w:rsidR="000D5D5A" w14:paraId="2473F687" w14:textId="77777777" w:rsidTr="00BA1A08">
        <w:tc>
          <w:tcPr>
            <w:tcW w:w="5575" w:type="dxa"/>
          </w:tcPr>
          <w:p w14:paraId="7003BB38" w14:textId="5DF33C98" w:rsidR="000D5D5A" w:rsidRPr="003916A7" w:rsidRDefault="000D5D5A" w:rsidP="000D5D5A">
            <w:pPr>
              <w:contextualSpacing/>
              <w:rPr>
                <w:rFonts w:cstheme="minorHAnsi"/>
              </w:rPr>
            </w:pPr>
            <w:r w:rsidRPr="003916A7">
              <w:rPr>
                <w:rFonts w:cstheme="minorHAnsi"/>
              </w:rPr>
              <w:t xml:space="preserve">Body Mass Index (BMI) </w:t>
            </w:r>
            <w:r w:rsidRPr="003916A7">
              <w:rPr>
                <w:rFonts w:cstheme="minorHAnsi"/>
                <w:i/>
              </w:rPr>
              <w:t>(Mean, SD)</w:t>
            </w:r>
          </w:p>
        </w:tc>
        <w:tc>
          <w:tcPr>
            <w:tcW w:w="2070" w:type="dxa"/>
          </w:tcPr>
          <w:p w14:paraId="5A3235B9" w14:textId="16DF300C" w:rsidR="000D5D5A" w:rsidRPr="003916A7" w:rsidRDefault="000D5D5A" w:rsidP="000D5D5A">
            <w:pPr>
              <w:contextualSpacing/>
              <w:jc w:val="right"/>
              <w:rPr>
                <w:rFonts w:cstheme="minorHAnsi"/>
              </w:rPr>
            </w:pPr>
            <w:r w:rsidRPr="003916A7">
              <w:rPr>
                <w:rFonts w:cstheme="minorHAnsi"/>
              </w:rPr>
              <w:t>30.39 (6.01)</w:t>
            </w:r>
          </w:p>
        </w:tc>
        <w:tc>
          <w:tcPr>
            <w:tcW w:w="1890" w:type="dxa"/>
          </w:tcPr>
          <w:p w14:paraId="5343E714" w14:textId="3E7B2FF0" w:rsidR="000D5D5A" w:rsidRPr="003916A7" w:rsidRDefault="000D5D5A" w:rsidP="000D5D5A">
            <w:pPr>
              <w:contextualSpacing/>
              <w:jc w:val="right"/>
              <w:rPr>
                <w:rFonts w:cstheme="minorHAnsi"/>
              </w:rPr>
            </w:pPr>
            <w:r w:rsidRPr="003916A7">
              <w:rPr>
                <w:rFonts w:cstheme="minorHAnsi"/>
              </w:rPr>
              <w:t>30.46 (6.03)</w:t>
            </w:r>
          </w:p>
        </w:tc>
      </w:tr>
      <w:tr w:rsidR="000D5D5A" w14:paraId="0F1EB03B" w14:textId="77777777" w:rsidTr="00BA1A08">
        <w:tc>
          <w:tcPr>
            <w:tcW w:w="5575" w:type="dxa"/>
          </w:tcPr>
          <w:p w14:paraId="0FC5536A" w14:textId="77777777" w:rsidR="000D5D5A" w:rsidRPr="003916A7" w:rsidRDefault="000D5D5A" w:rsidP="000D5D5A">
            <w:pPr>
              <w:contextualSpacing/>
              <w:rPr>
                <w:rFonts w:cstheme="minorHAnsi"/>
              </w:rPr>
            </w:pPr>
            <w:r w:rsidRPr="003916A7">
              <w:rPr>
                <w:rFonts w:cstheme="minorHAnsi"/>
              </w:rPr>
              <w:t>Narcotic Use for &gt;90 days</w:t>
            </w:r>
          </w:p>
        </w:tc>
        <w:tc>
          <w:tcPr>
            <w:tcW w:w="2070" w:type="dxa"/>
          </w:tcPr>
          <w:p w14:paraId="201DD018" w14:textId="48C37D02" w:rsidR="000D5D5A" w:rsidRPr="003916A7" w:rsidRDefault="000D5D5A" w:rsidP="000D5D5A">
            <w:pPr>
              <w:contextualSpacing/>
              <w:jc w:val="right"/>
              <w:rPr>
                <w:rFonts w:cstheme="minorHAnsi"/>
              </w:rPr>
            </w:pPr>
            <w:r w:rsidRPr="003916A7">
              <w:rPr>
                <w:rFonts w:cstheme="minorHAnsi"/>
              </w:rPr>
              <w:t>1224 (18.18%)</w:t>
            </w:r>
          </w:p>
        </w:tc>
        <w:tc>
          <w:tcPr>
            <w:tcW w:w="1890" w:type="dxa"/>
          </w:tcPr>
          <w:p w14:paraId="32C4E03E" w14:textId="37C6BCE3" w:rsidR="000D5D5A" w:rsidRPr="003916A7" w:rsidRDefault="000D5D5A" w:rsidP="000D5D5A">
            <w:pPr>
              <w:contextualSpacing/>
              <w:jc w:val="right"/>
              <w:rPr>
                <w:rFonts w:cstheme="minorHAnsi"/>
              </w:rPr>
            </w:pPr>
            <w:r w:rsidRPr="003916A7">
              <w:rPr>
                <w:rFonts w:cstheme="minorHAnsi"/>
              </w:rPr>
              <w:t>787 (17.35%)</w:t>
            </w:r>
          </w:p>
        </w:tc>
      </w:tr>
      <w:tr w:rsidR="000D5D5A" w14:paraId="3458255B" w14:textId="77777777" w:rsidTr="00BA1A08">
        <w:tc>
          <w:tcPr>
            <w:tcW w:w="5575" w:type="dxa"/>
          </w:tcPr>
          <w:p w14:paraId="275B8387" w14:textId="1C911C04" w:rsidR="000D5D5A" w:rsidRPr="003916A7" w:rsidRDefault="000D5D5A" w:rsidP="000D5D5A">
            <w:pPr>
              <w:contextualSpacing/>
              <w:rPr>
                <w:rFonts w:cstheme="minorHAnsi"/>
              </w:rPr>
            </w:pPr>
            <w:r w:rsidRPr="003916A7">
              <w:rPr>
                <w:rFonts w:cstheme="minorHAnsi"/>
              </w:rPr>
              <w:t xml:space="preserve">PROMIS Global Mental Health Score </w:t>
            </w:r>
            <w:r w:rsidRPr="003916A7">
              <w:rPr>
                <w:rFonts w:cstheme="minorHAnsi"/>
                <w:i/>
              </w:rPr>
              <w:t>(Mean, SD)</w:t>
            </w:r>
          </w:p>
        </w:tc>
        <w:tc>
          <w:tcPr>
            <w:tcW w:w="2070" w:type="dxa"/>
          </w:tcPr>
          <w:p w14:paraId="7CD19F71" w14:textId="495CC27D" w:rsidR="000D5D5A" w:rsidRPr="003916A7" w:rsidRDefault="000D5D5A" w:rsidP="000D5D5A">
            <w:pPr>
              <w:contextualSpacing/>
              <w:jc w:val="right"/>
              <w:rPr>
                <w:rFonts w:cstheme="minorHAnsi"/>
              </w:rPr>
            </w:pPr>
            <w:r w:rsidRPr="003916A7">
              <w:rPr>
                <w:rFonts w:cstheme="minorHAnsi"/>
              </w:rPr>
              <w:t>49.71 (8.10)</w:t>
            </w:r>
          </w:p>
        </w:tc>
        <w:tc>
          <w:tcPr>
            <w:tcW w:w="1890" w:type="dxa"/>
          </w:tcPr>
          <w:p w14:paraId="10DEA43F" w14:textId="5C541E9D" w:rsidR="000D5D5A" w:rsidRPr="003916A7" w:rsidRDefault="000D5D5A" w:rsidP="000D5D5A">
            <w:pPr>
              <w:contextualSpacing/>
              <w:jc w:val="right"/>
              <w:rPr>
                <w:rFonts w:cstheme="minorHAnsi"/>
              </w:rPr>
            </w:pPr>
            <w:r w:rsidRPr="003916A7">
              <w:rPr>
                <w:rFonts w:cstheme="minorHAnsi"/>
              </w:rPr>
              <w:t>49.70 (8.05)</w:t>
            </w:r>
          </w:p>
        </w:tc>
      </w:tr>
      <w:tr w:rsidR="000D5D5A" w14:paraId="2A438B1F" w14:textId="77777777" w:rsidTr="00BA1A08">
        <w:tc>
          <w:tcPr>
            <w:tcW w:w="5575" w:type="dxa"/>
          </w:tcPr>
          <w:p w14:paraId="349DE8F4" w14:textId="77777777" w:rsidR="000D5D5A" w:rsidRPr="003916A7" w:rsidRDefault="000D5D5A" w:rsidP="000D5D5A">
            <w:pPr>
              <w:contextualSpacing/>
              <w:rPr>
                <w:rFonts w:cstheme="minorHAnsi"/>
              </w:rPr>
            </w:pPr>
            <w:r w:rsidRPr="003916A7">
              <w:rPr>
                <w:rFonts w:cstheme="minorHAnsi"/>
              </w:rPr>
              <w:t>Severe Infection; other infectious diseases</w:t>
            </w:r>
          </w:p>
        </w:tc>
        <w:tc>
          <w:tcPr>
            <w:tcW w:w="2070" w:type="dxa"/>
          </w:tcPr>
          <w:p w14:paraId="28FEAAC4" w14:textId="2B9DD3C7" w:rsidR="000D5D5A" w:rsidRPr="003916A7" w:rsidRDefault="000D5D5A" w:rsidP="000D5D5A">
            <w:pPr>
              <w:contextualSpacing/>
              <w:jc w:val="right"/>
              <w:rPr>
                <w:rFonts w:cstheme="minorHAnsi"/>
              </w:rPr>
            </w:pPr>
            <w:r w:rsidRPr="003916A7">
              <w:rPr>
                <w:rFonts w:cstheme="minorHAnsi"/>
              </w:rPr>
              <w:t>1258 (18.68%)</w:t>
            </w:r>
          </w:p>
        </w:tc>
        <w:tc>
          <w:tcPr>
            <w:tcW w:w="1890" w:type="dxa"/>
          </w:tcPr>
          <w:p w14:paraId="4CE9D7AD" w14:textId="784FEBA6" w:rsidR="000D5D5A" w:rsidRPr="003916A7" w:rsidRDefault="000D5D5A" w:rsidP="000D5D5A">
            <w:pPr>
              <w:contextualSpacing/>
              <w:jc w:val="right"/>
              <w:rPr>
                <w:rFonts w:cstheme="minorHAnsi"/>
              </w:rPr>
            </w:pPr>
            <w:r w:rsidRPr="003916A7">
              <w:rPr>
                <w:rFonts w:cstheme="minorHAnsi"/>
              </w:rPr>
              <w:t>842 (18.56%)</w:t>
            </w:r>
          </w:p>
        </w:tc>
      </w:tr>
      <w:tr w:rsidR="000D5D5A" w14:paraId="2F79C07F" w14:textId="77777777" w:rsidTr="00BA1A08">
        <w:tc>
          <w:tcPr>
            <w:tcW w:w="5575" w:type="dxa"/>
          </w:tcPr>
          <w:p w14:paraId="7C3CDB1B" w14:textId="350D9B57" w:rsidR="000D5D5A" w:rsidRPr="003916A7" w:rsidRDefault="000D5D5A" w:rsidP="000D5D5A">
            <w:pPr>
              <w:contextualSpacing/>
              <w:rPr>
                <w:rFonts w:cstheme="minorHAnsi"/>
              </w:rPr>
            </w:pPr>
            <w:r w:rsidRPr="003916A7">
              <w:rPr>
                <w:rFonts w:cstheme="minorHAnsi"/>
              </w:rPr>
              <w:t>Diabetes or diabetes complications</w:t>
            </w:r>
          </w:p>
        </w:tc>
        <w:tc>
          <w:tcPr>
            <w:tcW w:w="2070" w:type="dxa"/>
          </w:tcPr>
          <w:p w14:paraId="45AE9983" w14:textId="259552F9" w:rsidR="000D5D5A" w:rsidRPr="003916A7" w:rsidRDefault="000D5D5A" w:rsidP="000D5D5A">
            <w:pPr>
              <w:jc w:val="right"/>
              <w:rPr>
                <w:rFonts w:cstheme="minorHAnsi"/>
              </w:rPr>
            </w:pPr>
            <w:r w:rsidRPr="003916A7">
              <w:rPr>
                <w:rFonts w:cstheme="minorHAnsi"/>
              </w:rPr>
              <w:t>1735 (25.76%)</w:t>
            </w:r>
          </w:p>
        </w:tc>
        <w:tc>
          <w:tcPr>
            <w:tcW w:w="1890" w:type="dxa"/>
          </w:tcPr>
          <w:p w14:paraId="5644166C" w14:textId="07648001" w:rsidR="000D5D5A" w:rsidRPr="003916A7" w:rsidRDefault="000D5D5A" w:rsidP="000D5D5A">
            <w:pPr>
              <w:jc w:val="right"/>
              <w:rPr>
                <w:rFonts w:cstheme="minorHAnsi"/>
              </w:rPr>
            </w:pPr>
            <w:r w:rsidRPr="003916A7">
              <w:rPr>
                <w:rFonts w:cstheme="minorHAnsi"/>
              </w:rPr>
              <w:t>1217 (26.83%)</w:t>
            </w:r>
          </w:p>
        </w:tc>
      </w:tr>
      <w:tr w:rsidR="000D5D5A" w14:paraId="26C3EC52" w14:textId="77777777" w:rsidTr="00BA1A08">
        <w:tc>
          <w:tcPr>
            <w:tcW w:w="5575" w:type="dxa"/>
          </w:tcPr>
          <w:p w14:paraId="6CDA8DF8" w14:textId="660D1D9D" w:rsidR="000D5D5A" w:rsidRPr="003916A7" w:rsidRDefault="000D5D5A" w:rsidP="000D5D5A">
            <w:pPr>
              <w:contextualSpacing/>
              <w:rPr>
                <w:rFonts w:cstheme="minorHAnsi"/>
              </w:rPr>
            </w:pPr>
            <w:r w:rsidRPr="003916A7">
              <w:rPr>
                <w:rFonts w:cstheme="minorHAnsi"/>
              </w:rPr>
              <w:t>Liver Disease</w:t>
            </w:r>
          </w:p>
        </w:tc>
        <w:tc>
          <w:tcPr>
            <w:tcW w:w="2070" w:type="dxa"/>
          </w:tcPr>
          <w:p w14:paraId="17854806" w14:textId="5991B918" w:rsidR="000D5D5A" w:rsidRPr="003916A7" w:rsidRDefault="000D5D5A" w:rsidP="000D5D5A">
            <w:pPr>
              <w:contextualSpacing/>
              <w:jc w:val="right"/>
              <w:rPr>
                <w:rFonts w:cstheme="minorHAnsi"/>
              </w:rPr>
            </w:pPr>
            <w:r w:rsidRPr="003916A7">
              <w:rPr>
                <w:rFonts w:cstheme="minorHAnsi"/>
              </w:rPr>
              <w:t>1794 (26.64%)</w:t>
            </w:r>
          </w:p>
        </w:tc>
        <w:tc>
          <w:tcPr>
            <w:tcW w:w="1890" w:type="dxa"/>
          </w:tcPr>
          <w:p w14:paraId="6F28DB6E" w14:textId="4BFB5EBB" w:rsidR="000D5D5A" w:rsidRPr="003916A7" w:rsidRDefault="000D5D5A" w:rsidP="000D5D5A">
            <w:pPr>
              <w:contextualSpacing/>
              <w:jc w:val="right"/>
              <w:rPr>
                <w:rFonts w:cstheme="minorHAnsi"/>
              </w:rPr>
            </w:pPr>
            <w:r w:rsidRPr="003916A7">
              <w:rPr>
                <w:rFonts w:cstheme="minorHAnsi"/>
              </w:rPr>
              <w:t>1229 (27.09%)</w:t>
            </w:r>
          </w:p>
        </w:tc>
      </w:tr>
      <w:tr w:rsidR="000D5D5A" w14:paraId="216EE300" w14:textId="77777777" w:rsidTr="00BA1A08">
        <w:tc>
          <w:tcPr>
            <w:tcW w:w="5575" w:type="dxa"/>
          </w:tcPr>
          <w:p w14:paraId="632380A1" w14:textId="637915B7" w:rsidR="000D5D5A" w:rsidRPr="003916A7" w:rsidRDefault="000D5D5A" w:rsidP="000D5D5A">
            <w:pPr>
              <w:contextualSpacing/>
              <w:rPr>
                <w:rFonts w:cstheme="minorHAnsi"/>
              </w:rPr>
            </w:pPr>
            <w:r w:rsidRPr="003916A7">
              <w:rPr>
                <w:rFonts w:eastAsia="Times New Roman" w:cstheme="minorHAnsi"/>
              </w:rPr>
              <w:t>Rheumatoid arthritis and inflammatory connective tissue disease</w:t>
            </w:r>
          </w:p>
        </w:tc>
        <w:tc>
          <w:tcPr>
            <w:tcW w:w="2070" w:type="dxa"/>
          </w:tcPr>
          <w:p w14:paraId="640A95D4" w14:textId="42FE6129" w:rsidR="000D5D5A" w:rsidRPr="003916A7" w:rsidRDefault="000D5D5A" w:rsidP="000D5D5A">
            <w:pPr>
              <w:contextualSpacing/>
              <w:jc w:val="right"/>
              <w:rPr>
                <w:rFonts w:cstheme="minorHAnsi"/>
              </w:rPr>
            </w:pPr>
            <w:r w:rsidRPr="003916A7">
              <w:rPr>
                <w:rFonts w:cstheme="minorHAnsi"/>
              </w:rPr>
              <w:t>750 (11.14%)</w:t>
            </w:r>
          </w:p>
        </w:tc>
        <w:tc>
          <w:tcPr>
            <w:tcW w:w="1890" w:type="dxa"/>
          </w:tcPr>
          <w:p w14:paraId="0522C1BB" w14:textId="7BCAE9AB" w:rsidR="000D5D5A" w:rsidRPr="003916A7" w:rsidRDefault="000D5D5A" w:rsidP="000D5D5A">
            <w:pPr>
              <w:contextualSpacing/>
              <w:jc w:val="right"/>
              <w:rPr>
                <w:rFonts w:cstheme="minorHAnsi"/>
              </w:rPr>
            </w:pPr>
            <w:r w:rsidRPr="003916A7">
              <w:rPr>
                <w:rFonts w:cstheme="minorHAnsi"/>
              </w:rPr>
              <w:t>457 (10.07%)</w:t>
            </w:r>
          </w:p>
        </w:tc>
      </w:tr>
      <w:tr w:rsidR="000D5D5A" w14:paraId="35E7CB8C" w14:textId="77777777" w:rsidTr="00BA1A08">
        <w:tc>
          <w:tcPr>
            <w:tcW w:w="5575" w:type="dxa"/>
          </w:tcPr>
          <w:p w14:paraId="454DC960" w14:textId="77777777" w:rsidR="000D5D5A" w:rsidRPr="003916A7" w:rsidRDefault="000D5D5A" w:rsidP="000D5D5A">
            <w:pPr>
              <w:contextualSpacing/>
              <w:rPr>
                <w:rFonts w:cstheme="minorHAnsi"/>
              </w:rPr>
            </w:pPr>
            <w:r w:rsidRPr="003916A7">
              <w:rPr>
                <w:rFonts w:cstheme="minorHAnsi"/>
              </w:rPr>
              <w:t>Depression</w:t>
            </w:r>
          </w:p>
        </w:tc>
        <w:tc>
          <w:tcPr>
            <w:tcW w:w="2070" w:type="dxa"/>
          </w:tcPr>
          <w:p w14:paraId="54333B92" w14:textId="09D4C4A7" w:rsidR="000D5D5A" w:rsidRPr="003916A7" w:rsidRDefault="000D5D5A" w:rsidP="000D5D5A">
            <w:pPr>
              <w:contextualSpacing/>
              <w:jc w:val="right"/>
              <w:rPr>
                <w:rFonts w:cstheme="minorHAnsi"/>
              </w:rPr>
            </w:pPr>
            <w:r w:rsidRPr="003916A7">
              <w:rPr>
                <w:rFonts w:cstheme="minorHAnsi"/>
              </w:rPr>
              <w:t>1047 (15.55%)</w:t>
            </w:r>
          </w:p>
        </w:tc>
        <w:tc>
          <w:tcPr>
            <w:tcW w:w="1890" w:type="dxa"/>
          </w:tcPr>
          <w:p w14:paraId="4C8125C2" w14:textId="1C2ADCA0" w:rsidR="000D5D5A" w:rsidRPr="003916A7" w:rsidRDefault="000D5D5A" w:rsidP="000D5D5A">
            <w:pPr>
              <w:contextualSpacing/>
              <w:jc w:val="right"/>
              <w:rPr>
                <w:rFonts w:cstheme="minorHAnsi"/>
              </w:rPr>
            </w:pPr>
            <w:r w:rsidRPr="003916A7">
              <w:rPr>
                <w:rFonts w:cstheme="minorHAnsi"/>
              </w:rPr>
              <w:t>698 (15.39%)</w:t>
            </w:r>
          </w:p>
        </w:tc>
      </w:tr>
      <w:tr w:rsidR="000D5D5A" w14:paraId="5596E517" w14:textId="77777777" w:rsidTr="00BA1A08">
        <w:tc>
          <w:tcPr>
            <w:tcW w:w="5575" w:type="dxa"/>
          </w:tcPr>
          <w:p w14:paraId="187899D8" w14:textId="77777777" w:rsidR="000D5D5A" w:rsidRPr="003916A7" w:rsidRDefault="000D5D5A" w:rsidP="000D5D5A">
            <w:pPr>
              <w:contextualSpacing/>
              <w:rPr>
                <w:rFonts w:cstheme="minorHAnsi"/>
              </w:rPr>
            </w:pPr>
            <w:r w:rsidRPr="003916A7">
              <w:rPr>
                <w:rFonts w:cstheme="minorHAnsi"/>
              </w:rPr>
              <w:t>Other psychiatric disorders</w:t>
            </w:r>
          </w:p>
        </w:tc>
        <w:tc>
          <w:tcPr>
            <w:tcW w:w="2070" w:type="dxa"/>
          </w:tcPr>
          <w:p w14:paraId="65B2C118" w14:textId="1B8D7BED" w:rsidR="000D5D5A" w:rsidRPr="003916A7" w:rsidRDefault="000D5D5A" w:rsidP="000D5D5A">
            <w:pPr>
              <w:contextualSpacing/>
              <w:jc w:val="right"/>
              <w:rPr>
                <w:rFonts w:cstheme="minorHAnsi"/>
              </w:rPr>
            </w:pPr>
            <w:r w:rsidRPr="003916A7">
              <w:rPr>
                <w:rFonts w:cstheme="minorHAnsi"/>
              </w:rPr>
              <w:t>1105 (16.41%)</w:t>
            </w:r>
          </w:p>
        </w:tc>
        <w:tc>
          <w:tcPr>
            <w:tcW w:w="1890" w:type="dxa"/>
          </w:tcPr>
          <w:p w14:paraId="15A69674" w14:textId="335EA2E5" w:rsidR="000D5D5A" w:rsidRPr="003916A7" w:rsidRDefault="000D5D5A" w:rsidP="000D5D5A">
            <w:pPr>
              <w:contextualSpacing/>
              <w:jc w:val="right"/>
              <w:rPr>
                <w:rFonts w:cstheme="minorHAnsi"/>
              </w:rPr>
            </w:pPr>
            <w:r w:rsidRPr="003916A7">
              <w:rPr>
                <w:rFonts w:cstheme="minorHAnsi"/>
              </w:rPr>
              <w:t>714 (15.74%)</w:t>
            </w:r>
          </w:p>
        </w:tc>
      </w:tr>
      <w:tr w:rsidR="000D5D5A" w14:paraId="2F093A10" w14:textId="77777777" w:rsidTr="00BA1A08">
        <w:tc>
          <w:tcPr>
            <w:tcW w:w="5575" w:type="dxa"/>
          </w:tcPr>
          <w:p w14:paraId="18DF940D" w14:textId="77777777" w:rsidR="000D5D5A" w:rsidRPr="003916A7" w:rsidRDefault="000D5D5A" w:rsidP="000D5D5A">
            <w:pPr>
              <w:contextualSpacing/>
              <w:rPr>
                <w:rFonts w:cstheme="minorHAnsi"/>
              </w:rPr>
            </w:pPr>
            <w:r w:rsidRPr="003916A7">
              <w:rPr>
                <w:rFonts w:cstheme="minorHAnsi"/>
              </w:rPr>
              <w:t>Coronary atherosclerosis or angina</w:t>
            </w:r>
          </w:p>
        </w:tc>
        <w:tc>
          <w:tcPr>
            <w:tcW w:w="2070" w:type="dxa"/>
          </w:tcPr>
          <w:p w14:paraId="543F7164" w14:textId="1DD7E274" w:rsidR="000D5D5A" w:rsidRPr="003916A7" w:rsidRDefault="000D5D5A" w:rsidP="000D5D5A">
            <w:pPr>
              <w:contextualSpacing/>
              <w:jc w:val="right"/>
              <w:rPr>
                <w:rFonts w:cstheme="minorHAnsi"/>
              </w:rPr>
            </w:pPr>
            <w:r w:rsidRPr="003916A7">
              <w:rPr>
                <w:rFonts w:cstheme="minorHAnsi"/>
              </w:rPr>
              <w:t>1622 (24.09%)</w:t>
            </w:r>
          </w:p>
        </w:tc>
        <w:tc>
          <w:tcPr>
            <w:tcW w:w="1890" w:type="dxa"/>
          </w:tcPr>
          <w:p w14:paraId="20EDEBC9" w14:textId="509BEA94" w:rsidR="000D5D5A" w:rsidRPr="003916A7" w:rsidRDefault="000D5D5A" w:rsidP="000D5D5A">
            <w:pPr>
              <w:contextualSpacing/>
              <w:jc w:val="right"/>
              <w:rPr>
                <w:rFonts w:cstheme="minorHAnsi"/>
              </w:rPr>
            </w:pPr>
            <w:r w:rsidRPr="003916A7">
              <w:rPr>
                <w:rFonts w:cstheme="minorHAnsi"/>
              </w:rPr>
              <w:t>1138 (25.09%)</w:t>
            </w:r>
          </w:p>
        </w:tc>
      </w:tr>
      <w:tr w:rsidR="000D5D5A" w14:paraId="2718C318" w14:textId="77777777" w:rsidTr="00BA1A08">
        <w:tc>
          <w:tcPr>
            <w:tcW w:w="5575" w:type="dxa"/>
          </w:tcPr>
          <w:p w14:paraId="10054AC3" w14:textId="77777777" w:rsidR="000D5D5A" w:rsidRPr="003916A7" w:rsidRDefault="000D5D5A" w:rsidP="000D5D5A">
            <w:pPr>
              <w:contextualSpacing/>
              <w:rPr>
                <w:rFonts w:cstheme="minorHAnsi"/>
              </w:rPr>
            </w:pPr>
            <w:r w:rsidRPr="003916A7">
              <w:rPr>
                <w:rFonts w:cstheme="minorHAnsi"/>
              </w:rPr>
              <w:t>Vascular or circulatory disease</w:t>
            </w:r>
          </w:p>
        </w:tc>
        <w:tc>
          <w:tcPr>
            <w:tcW w:w="2070" w:type="dxa"/>
          </w:tcPr>
          <w:p w14:paraId="3611D13D" w14:textId="7E174E2F" w:rsidR="000D5D5A" w:rsidRPr="003916A7" w:rsidRDefault="000D5D5A" w:rsidP="000D5D5A">
            <w:pPr>
              <w:contextualSpacing/>
              <w:jc w:val="right"/>
              <w:rPr>
                <w:rFonts w:cstheme="minorHAnsi"/>
              </w:rPr>
            </w:pPr>
            <w:r w:rsidRPr="003916A7">
              <w:rPr>
                <w:rFonts w:cstheme="minorHAnsi"/>
              </w:rPr>
              <w:t>1279 (18.99%)</w:t>
            </w:r>
          </w:p>
        </w:tc>
        <w:tc>
          <w:tcPr>
            <w:tcW w:w="1890" w:type="dxa"/>
          </w:tcPr>
          <w:p w14:paraId="6494E60D" w14:textId="0883233C" w:rsidR="000D5D5A" w:rsidRPr="003916A7" w:rsidRDefault="000D5D5A" w:rsidP="000D5D5A">
            <w:pPr>
              <w:contextualSpacing/>
              <w:jc w:val="right"/>
              <w:rPr>
                <w:rFonts w:cstheme="minorHAnsi"/>
              </w:rPr>
            </w:pPr>
            <w:r w:rsidRPr="003916A7">
              <w:rPr>
                <w:rFonts w:cstheme="minorHAnsi"/>
              </w:rPr>
              <w:t>862 (19.00%)</w:t>
            </w:r>
          </w:p>
        </w:tc>
      </w:tr>
      <w:tr w:rsidR="000D5D5A" w14:paraId="22E84960" w14:textId="77777777" w:rsidTr="00BA1A08">
        <w:tc>
          <w:tcPr>
            <w:tcW w:w="5575" w:type="dxa"/>
          </w:tcPr>
          <w:p w14:paraId="7C012537" w14:textId="77777777" w:rsidR="000D5D5A" w:rsidRPr="003916A7" w:rsidRDefault="000D5D5A" w:rsidP="000D5D5A">
            <w:pPr>
              <w:contextualSpacing/>
              <w:rPr>
                <w:rFonts w:cstheme="minorHAnsi"/>
              </w:rPr>
            </w:pPr>
            <w:r w:rsidRPr="003916A7">
              <w:rPr>
                <w:rFonts w:cstheme="minorHAnsi"/>
              </w:rPr>
              <w:t>Renal failure</w:t>
            </w:r>
          </w:p>
        </w:tc>
        <w:tc>
          <w:tcPr>
            <w:tcW w:w="2070" w:type="dxa"/>
          </w:tcPr>
          <w:p w14:paraId="52FDA358" w14:textId="5F1F5D4E" w:rsidR="000D5D5A" w:rsidRPr="003916A7" w:rsidRDefault="000D5D5A" w:rsidP="000D5D5A">
            <w:pPr>
              <w:contextualSpacing/>
              <w:jc w:val="right"/>
              <w:rPr>
                <w:rFonts w:cstheme="minorHAnsi"/>
              </w:rPr>
            </w:pPr>
            <w:r w:rsidRPr="003916A7">
              <w:rPr>
                <w:rFonts w:cstheme="minorHAnsi"/>
              </w:rPr>
              <w:t>905 (13.44%)</w:t>
            </w:r>
          </w:p>
        </w:tc>
        <w:tc>
          <w:tcPr>
            <w:tcW w:w="1890" w:type="dxa"/>
          </w:tcPr>
          <w:p w14:paraId="67704441" w14:textId="29EB64C1" w:rsidR="000D5D5A" w:rsidRPr="003916A7" w:rsidRDefault="000D5D5A" w:rsidP="000D5D5A">
            <w:pPr>
              <w:contextualSpacing/>
              <w:jc w:val="right"/>
              <w:rPr>
                <w:rFonts w:cstheme="minorHAnsi"/>
              </w:rPr>
            </w:pPr>
            <w:r w:rsidRPr="003916A7">
              <w:rPr>
                <w:rFonts w:cstheme="minorHAnsi"/>
              </w:rPr>
              <w:t>621 (13.69%)</w:t>
            </w:r>
          </w:p>
        </w:tc>
      </w:tr>
    </w:tbl>
    <w:p w14:paraId="5F655EFF" w14:textId="77777777" w:rsidR="008B6942" w:rsidRDefault="008B6942" w:rsidP="00E37E1B">
      <w:pPr>
        <w:autoSpaceDE w:val="0"/>
        <w:autoSpaceDN w:val="0"/>
        <w:adjustRightInd w:val="0"/>
        <w:spacing w:after="0" w:line="240" w:lineRule="auto"/>
        <w:rPr>
          <w:rFonts w:cstheme="minorHAnsi"/>
          <w:bCs/>
        </w:rPr>
      </w:pPr>
    </w:p>
    <w:p w14:paraId="4EFA367A" w14:textId="77777777" w:rsidR="008B6942" w:rsidRDefault="008B6942" w:rsidP="00E37E1B">
      <w:pPr>
        <w:autoSpaceDE w:val="0"/>
        <w:autoSpaceDN w:val="0"/>
        <w:adjustRightInd w:val="0"/>
        <w:spacing w:after="0" w:line="240" w:lineRule="auto"/>
        <w:rPr>
          <w:rFonts w:cstheme="minorHAnsi"/>
          <w:bCs/>
        </w:rPr>
      </w:pPr>
    </w:p>
    <w:p w14:paraId="0CABCFCC" w14:textId="0BCDECFC"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tbl>
      <w:tblPr>
        <w:tblStyle w:val="TableGrid"/>
        <w:tblW w:w="0" w:type="auto"/>
        <w:tblLook w:val="04A0" w:firstRow="1" w:lastRow="0" w:firstColumn="1" w:lastColumn="0" w:noHBand="0" w:noVBand="1"/>
      </w:tblPr>
      <w:tblGrid>
        <w:gridCol w:w="9350"/>
      </w:tblGrid>
      <w:tr w:rsidR="00394224" w14:paraId="1A6F68D8" w14:textId="77777777" w:rsidTr="00062A58">
        <w:tc>
          <w:tcPr>
            <w:tcW w:w="9350" w:type="dxa"/>
          </w:tcPr>
          <w:p w14:paraId="478A8044" w14:textId="1A137120" w:rsidR="00394224" w:rsidRDefault="00675B77" w:rsidP="00062A58">
            <w:pPr>
              <w:autoSpaceDE w:val="0"/>
              <w:autoSpaceDN w:val="0"/>
              <w:adjustRightInd w:val="0"/>
              <w:rPr>
                <w:rFonts w:cstheme="minorHAnsi"/>
                <w:bCs/>
              </w:rPr>
            </w:pPr>
            <w:r>
              <w:rPr>
                <w:rFonts w:cstheme="minorHAnsi"/>
                <w:bCs/>
              </w:rPr>
              <w:t>Social Risk Factors available and analyzed included</w:t>
            </w:r>
            <w:r w:rsidR="00516AC2">
              <w:rPr>
                <w:rFonts w:cstheme="minorHAnsi"/>
                <w:bCs/>
              </w:rPr>
              <w:t xml:space="preserve"> </w:t>
            </w:r>
            <w:r>
              <w:rPr>
                <w:rFonts w:cstheme="minorHAnsi"/>
                <w:bCs/>
              </w:rPr>
              <w:t xml:space="preserve">dual eligibility (dual Medicare and Medicaid coverage) and the AHRQ SES index. </w:t>
            </w:r>
          </w:p>
          <w:p w14:paraId="15B0FD6F" w14:textId="4B421D70" w:rsidR="00BF1BE9" w:rsidRDefault="00BF1BE9" w:rsidP="00062A58">
            <w:pPr>
              <w:autoSpaceDE w:val="0"/>
              <w:autoSpaceDN w:val="0"/>
              <w:adjustRightInd w:val="0"/>
              <w:rPr>
                <w:rFonts w:cstheme="minorHAnsi"/>
                <w:bCs/>
              </w:rPr>
            </w:pPr>
          </w:p>
          <w:p w14:paraId="42701FB0" w14:textId="174CCCDB" w:rsidR="00BF1BE9" w:rsidRDefault="00BF1BE9" w:rsidP="00062A58">
            <w:pPr>
              <w:autoSpaceDE w:val="0"/>
              <w:autoSpaceDN w:val="0"/>
              <w:adjustRightInd w:val="0"/>
              <w:rPr>
                <w:rFonts w:cstheme="minorHAnsi"/>
                <w:bCs/>
              </w:rPr>
            </w:pPr>
            <w:r>
              <w:rPr>
                <w:rFonts w:cstheme="minorHAnsi"/>
                <w:bCs/>
              </w:rPr>
              <w:t>Please note: We do not consider race a marker of socioeconomic status</w:t>
            </w:r>
            <w:r w:rsidR="00C43326">
              <w:rPr>
                <w:rFonts w:cstheme="minorHAnsi"/>
                <w:bCs/>
              </w:rPr>
              <w:t>; we</w:t>
            </w:r>
            <w:r>
              <w:rPr>
                <w:rFonts w:cstheme="minorHAnsi"/>
                <w:bCs/>
              </w:rPr>
              <w:t xml:space="preserve"> include it in our social risk factor analyses based upon literature </w:t>
            </w:r>
            <w:r w:rsidR="00C43326">
              <w:rPr>
                <w:rFonts w:cstheme="minorHAnsi"/>
                <w:bCs/>
              </w:rPr>
              <w:t xml:space="preserve">specifically </w:t>
            </w:r>
            <w:r>
              <w:rPr>
                <w:rFonts w:cstheme="minorHAnsi"/>
                <w:bCs/>
              </w:rPr>
              <w:t>documenting</w:t>
            </w:r>
            <w:r w:rsidR="00C43326">
              <w:rPr>
                <w:rFonts w:cstheme="minorHAnsi"/>
                <w:bCs/>
              </w:rPr>
              <w:t xml:space="preserve"> racial and ethnic</w:t>
            </w:r>
            <w:r>
              <w:rPr>
                <w:rFonts w:cstheme="minorHAnsi"/>
                <w:bCs/>
              </w:rPr>
              <w:t xml:space="preserve"> disparities in THA/TKA offer and acceptance rates as well as </w:t>
            </w:r>
            <w:r w:rsidR="00C43326">
              <w:rPr>
                <w:rFonts w:cstheme="minorHAnsi"/>
                <w:bCs/>
              </w:rPr>
              <w:t>outcomes</w:t>
            </w:r>
            <w:r w:rsidR="00751A23">
              <w:rPr>
                <w:rFonts w:cstheme="minorHAnsi"/>
                <w:bCs/>
              </w:rPr>
              <w:t xml:space="preserve"> (Irg</w:t>
            </w:r>
            <w:r w:rsidR="00D36198">
              <w:rPr>
                <w:rFonts w:cstheme="minorHAnsi"/>
                <w:bCs/>
              </w:rPr>
              <w:t xml:space="preserve">it and Nelson, 2011; </w:t>
            </w:r>
            <w:r w:rsidR="00D256F6">
              <w:rPr>
                <w:rFonts w:cstheme="minorHAnsi"/>
                <w:bCs/>
              </w:rPr>
              <w:t>Kerman et al, 2018)</w:t>
            </w:r>
            <w:r>
              <w:rPr>
                <w:rFonts w:cstheme="minorHAnsi"/>
                <w:bCs/>
              </w:rPr>
              <w:t>.</w:t>
            </w:r>
          </w:p>
          <w:p w14:paraId="33904CCC" w14:textId="77777777" w:rsidR="00864427" w:rsidRDefault="00864427" w:rsidP="00062A58">
            <w:pPr>
              <w:autoSpaceDE w:val="0"/>
              <w:autoSpaceDN w:val="0"/>
              <w:adjustRightInd w:val="0"/>
              <w:rPr>
                <w:rFonts w:cstheme="minorHAnsi"/>
                <w:bCs/>
              </w:rPr>
            </w:pPr>
          </w:p>
          <w:p w14:paraId="2D9724E6" w14:textId="605F5526" w:rsidR="00864427" w:rsidRDefault="00864427" w:rsidP="00062A58">
            <w:pPr>
              <w:autoSpaceDE w:val="0"/>
              <w:autoSpaceDN w:val="0"/>
              <w:adjustRightInd w:val="0"/>
              <w:rPr>
                <w:rFonts w:cstheme="minorHAnsi"/>
                <w:bCs/>
              </w:rPr>
            </w:pPr>
            <w:r>
              <w:rPr>
                <w:rFonts w:cstheme="minorHAnsi"/>
                <w:bCs/>
              </w:rPr>
              <w:t xml:space="preserve">Please </w:t>
            </w:r>
            <w:r w:rsidR="00C43326">
              <w:rPr>
                <w:rFonts w:cstheme="minorHAnsi"/>
                <w:bCs/>
              </w:rPr>
              <w:t xml:space="preserve">also </w:t>
            </w:r>
            <w:r>
              <w:rPr>
                <w:rFonts w:cstheme="minorHAnsi"/>
                <w:bCs/>
              </w:rPr>
              <w:t xml:space="preserve">note: </w:t>
            </w:r>
            <w:r w:rsidR="00563490">
              <w:rPr>
                <w:rFonts w:cstheme="minorHAnsi"/>
                <w:bCs/>
              </w:rPr>
              <w:t>While h</w:t>
            </w:r>
            <w:r>
              <w:rPr>
                <w:rFonts w:cstheme="minorHAnsi"/>
                <w:bCs/>
              </w:rPr>
              <w:t>ealth literacy also reflects social risk</w:t>
            </w:r>
            <w:r w:rsidR="00563490">
              <w:rPr>
                <w:rFonts w:cstheme="minorHAnsi"/>
                <w:bCs/>
              </w:rPr>
              <w:t>, our patient and technical experts strongly supported including health literacy in the risk model for a PRO-based measure, due to its very nature of asking patients to complete survey instruments as part of measurement. For this reason, we included it in the candidate risk variable list and in the final risk model; we</w:t>
            </w:r>
            <w:r w:rsidR="00C43326">
              <w:rPr>
                <w:rFonts w:cstheme="minorHAnsi"/>
                <w:bCs/>
              </w:rPr>
              <w:t xml:space="preserve"> therefore </w:t>
            </w:r>
            <w:r w:rsidR="00563490">
              <w:rPr>
                <w:rFonts w:cstheme="minorHAnsi"/>
                <w:bCs/>
              </w:rPr>
              <w:t xml:space="preserve">do not include health literacy in the specific social risk factor testing.  </w:t>
            </w:r>
          </w:p>
        </w:tc>
      </w:tr>
    </w:tbl>
    <w:p w14:paraId="7609296E" w14:textId="77777777" w:rsidR="00394224" w:rsidRDefault="00394224"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D763AA2" w:rsidR="001969C5"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7460B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C7A7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tbl>
      <w:tblPr>
        <w:tblStyle w:val="TableGrid"/>
        <w:tblW w:w="0" w:type="auto"/>
        <w:tblLook w:val="04A0" w:firstRow="1" w:lastRow="0" w:firstColumn="1" w:lastColumn="0" w:noHBand="0" w:noVBand="1"/>
      </w:tblPr>
      <w:tblGrid>
        <w:gridCol w:w="9350"/>
      </w:tblGrid>
      <w:tr w:rsidR="00394224" w14:paraId="100AAD32" w14:textId="77777777" w:rsidTr="00062A58">
        <w:tc>
          <w:tcPr>
            <w:tcW w:w="9350" w:type="dxa"/>
          </w:tcPr>
          <w:p w14:paraId="40A5AE8F" w14:textId="4B506D56" w:rsidR="00704360" w:rsidRPr="005B2DD3" w:rsidRDefault="00704360" w:rsidP="00FC3F66">
            <w:pPr>
              <w:autoSpaceDE w:val="0"/>
              <w:autoSpaceDN w:val="0"/>
              <w:adjustRightInd w:val="0"/>
              <w:rPr>
                <w:rFonts w:cstheme="minorHAnsi"/>
                <w:b/>
                <w:bCs/>
                <w:u w:val="single"/>
              </w:rPr>
            </w:pPr>
            <w:r w:rsidRPr="005B2DD3">
              <w:rPr>
                <w:rFonts w:cstheme="minorHAnsi"/>
                <w:b/>
                <w:bCs/>
                <w:u w:val="single"/>
              </w:rPr>
              <w:t>Data Element Reliability</w:t>
            </w:r>
          </w:p>
          <w:p w14:paraId="1F031936" w14:textId="20BCC87A" w:rsidR="005A3342" w:rsidRDefault="005A3342" w:rsidP="00FC3F66">
            <w:pPr>
              <w:autoSpaceDE w:val="0"/>
              <w:autoSpaceDN w:val="0"/>
              <w:adjustRightInd w:val="0"/>
              <w:rPr>
                <w:rFonts w:cstheme="minorHAnsi"/>
                <w:bCs/>
              </w:rPr>
            </w:pPr>
            <w:r>
              <w:rPr>
                <w:rFonts w:cstheme="minorHAnsi"/>
                <w:bCs/>
              </w:rPr>
              <w:t>Data element reliability is evidenced by reliability testing conducted du</w:t>
            </w:r>
            <w:r w:rsidR="008B2676">
              <w:rPr>
                <w:rFonts w:cstheme="minorHAnsi"/>
                <w:bCs/>
              </w:rPr>
              <w:t>ring the development and validation</w:t>
            </w:r>
            <w:r>
              <w:rPr>
                <w:rFonts w:cstheme="minorHAnsi"/>
                <w:bCs/>
              </w:rPr>
              <w:t xml:space="preserve"> of the </w:t>
            </w:r>
            <w:r w:rsidR="00DD45BB">
              <w:rPr>
                <w:rFonts w:cstheme="minorHAnsi"/>
                <w:bCs/>
              </w:rPr>
              <w:t>joint</w:t>
            </w:r>
            <w:r>
              <w:rPr>
                <w:rFonts w:cstheme="minorHAnsi"/>
                <w:bCs/>
              </w:rPr>
              <w:t>-specific patient-reported outcome measures (PROMs) on which this THA/TKA PRO-PM is based.</w:t>
            </w:r>
            <w:r w:rsidR="006A451D">
              <w:rPr>
                <w:rFonts w:cstheme="minorHAnsi"/>
                <w:bCs/>
              </w:rPr>
              <w:t xml:space="preserve"> </w:t>
            </w:r>
          </w:p>
          <w:p w14:paraId="54EAFEBD" w14:textId="77777777" w:rsidR="005A3342" w:rsidRDefault="005A3342" w:rsidP="00FC3F66">
            <w:pPr>
              <w:autoSpaceDE w:val="0"/>
              <w:autoSpaceDN w:val="0"/>
              <w:adjustRightInd w:val="0"/>
              <w:rPr>
                <w:rFonts w:cstheme="minorHAnsi"/>
                <w:bCs/>
              </w:rPr>
            </w:pPr>
          </w:p>
          <w:p w14:paraId="3DC817DC" w14:textId="229872CD" w:rsidR="00C77647" w:rsidRDefault="007C3821" w:rsidP="00FC3F66">
            <w:pPr>
              <w:autoSpaceDE w:val="0"/>
              <w:autoSpaceDN w:val="0"/>
              <w:adjustRightInd w:val="0"/>
              <w:rPr>
                <w:rFonts w:cstheme="minorHAnsi"/>
                <w:bCs/>
              </w:rPr>
            </w:pPr>
            <w:r w:rsidRPr="00FC3F66">
              <w:rPr>
                <w:rFonts w:cstheme="minorHAnsi"/>
                <w:b/>
                <w:bCs/>
              </w:rPr>
              <w:t>HOOS, JR Reliability</w:t>
            </w:r>
            <w:r>
              <w:rPr>
                <w:rFonts w:cstheme="minorHAnsi"/>
                <w:bCs/>
              </w:rPr>
              <w:t>:</w:t>
            </w:r>
          </w:p>
          <w:p w14:paraId="56DADF60" w14:textId="2924442A" w:rsidR="00212794" w:rsidRPr="00E87599" w:rsidRDefault="00C77647" w:rsidP="00212794">
            <w:pPr>
              <w:autoSpaceDE w:val="0"/>
              <w:autoSpaceDN w:val="0"/>
              <w:adjustRightInd w:val="0"/>
              <w:rPr>
                <w:rFonts w:cs="PqvltsAdvPTimes"/>
              </w:rPr>
            </w:pPr>
            <w:r w:rsidRPr="00C77647">
              <w:rPr>
                <w:rFonts w:cs="PqvltsAdvPTimes"/>
                <w:b/>
                <w:color w:val="000000"/>
              </w:rPr>
              <w:t>Internal consistency:</w:t>
            </w:r>
            <w:r w:rsidRPr="00C77647">
              <w:rPr>
                <w:rFonts w:cs="PqvltsAdvPTimes"/>
                <w:color w:val="000000"/>
              </w:rPr>
              <w:t xml:space="preserve"> The developers of the </w:t>
            </w:r>
            <w:r w:rsidRPr="00C77647">
              <w:rPr>
                <w:bCs/>
              </w:rPr>
              <w:t xml:space="preserve">Hip dysfunction and Osteoarthritis Outcome Score for Joint Replacement (HOOS, JR) </w:t>
            </w:r>
            <w:r w:rsidR="009C3E46" w:rsidRPr="00C77647">
              <w:rPr>
                <w:rFonts w:cs="PqvltsAdvPTimes"/>
                <w:color w:val="000000"/>
              </w:rPr>
              <w:t>(Lyman et al, 2016</w:t>
            </w:r>
            <w:r w:rsidR="00336AEB">
              <w:rPr>
                <w:rFonts w:cs="PqvltsAdvPTimes"/>
                <w:color w:val="000000"/>
              </w:rPr>
              <w:t>a</w:t>
            </w:r>
            <w:r w:rsidR="009C3E46" w:rsidRPr="00C77647">
              <w:rPr>
                <w:rFonts w:cs="PqvltsAdvPTimes"/>
                <w:color w:val="000000"/>
              </w:rPr>
              <w:t>)</w:t>
            </w:r>
            <w:r w:rsidR="009C3E46">
              <w:rPr>
                <w:rFonts w:cs="PqvltsAdvPTimes"/>
                <w:color w:val="000000"/>
              </w:rPr>
              <w:t xml:space="preserve"> </w:t>
            </w:r>
            <w:r w:rsidRPr="00C77647">
              <w:rPr>
                <w:rFonts w:cs="PqvltsAdvPTimes"/>
                <w:color w:val="000000"/>
              </w:rPr>
              <w:t xml:space="preserve">assessed internal consistency reliability of using the Person Separation Index (PSI). </w:t>
            </w:r>
            <w:r w:rsidR="00AB58AC">
              <w:rPr>
                <w:rFonts w:cs="PqvltsAdvPTimes"/>
                <w:color w:val="000000"/>
              </w:rPr>
              <w:t xml:space="preserve">The </w:t>
            </w:r>
            <w:r w:rsidR="00AB58AC" w:rsidRPr="00E87599">
              <w:rPr>
                <w:rFonts w:cs="PqvltsAdvPTimes"/>
              </w:rPr>
              <w:t>PSI</w:t>
            </w:r>
            <w:r w:rsidR="00AB58AC">
              <w:rPr>
                <w:rFonts w:cs="PqvltsAdvPTimes"/>
              </w:rPr>
              <w:t xml:space="preserve"> was used</w:t>
            </w:r>
            <w:r w:rsidR="00AB58AC" w:rsidRPr="00E87599">
              <w:rPr>
                <w:rFonts w:cs="PqvltsAdvPTimes"/>
              </w:rPr>
              <w:t xml:space="preserve"> in two data samples, the </w:t>
            </w:r>
            <w:r w:rsidR="00645877">
              <w:rPr>
                <w:rFonts w:cs="PqvltsAdvPTimes"/>
              </w:rPr>
              <w:t>Hospital for Special Surgery (HS</w:t>
            </w:r>
            <w:r w:rsidR="00AB58AC" w:rsidRPr="00E87599">
              <w:rPr>
                <w:rFonts w:cs="PqvltsAdvPTimes"/>
              </w:rPr>
              <w:t>S) cohort and the Function and Outcomes Research for Comparative Effectiveness in Total Joint Replacement (FORCE-TJR)</w:t>
            </w:r>
            <w:r w:rsidR="00AB58AC">
              <w:rPr>
                <w:rFonts w:cs="PqvltsAdvPTimes"/>
              </w:rPr>
              <w:t>, a</w:t>
            </w:r>
            <w:r w:rsidR="00AB58AC" w:rsidRPr="00E87599">
              <w:rPr>
                <w:rFonts w:cs="PqvltsAdvPTimes"/>
              </w:rPr>
              <w:t xml:space="preserve"> nationally representative joint replacement registry. </w:t>
            </w:r>
            <w:r w:rsidRPr="00C77647">
              <w:rPr>
                <w:rFonts w:cs="PqvltsAdvPTimes"/>
                <w:color w:val="000000"/>
              </w:rPr>
              <w:t>A higher value on the PSI indicates greater ability to differentiate patients with varying levels of ability, which in turn provides evidence of good internal consistency. For testing internal consistency for the HOOS, JR, a PSI value greater tha</w:t>
            </w:r>
            <w:r w:rsidR="001C4FB5">
              <w:rPr>
                <w:rFonts w:cs="PqvltsAdvPTimes"/>
                <w:color w:val="000000"/>
              </w:rPr>
              <w:t>n 0.7 was considered acceptable</w:t>
            </w:r>
            <w:r w:rsidRPr="00C77647">
              <w:rPr>
                <w:rFonts w:cs="PqvltsAdvPTimes"/>
                <w:color w:val="000000"/>
              </w:rPr>
              <w:t xml:space="preserve"> (Lyman et al, 2016</w:t>
            </w:r>
            <w:r w:rsidR="00336AEB">
              <w:rPr>
                <w:rFonts w:cs="PqvltsAdvPTimes"/>
                <w:color w:val="000000"/>
              </w:rPr>
              <w:t>a</w:t>
            </w:r>
            <w:r w:rsidRPr="00C77647">
              <w:rPr>
                <w:rFonts w:cs="PqvltsAdvPTimes"/>
                <w:color w:val="000000"/>
              </w:rPr>
              <w:t>)</w:t>
            </w:r>
            <w:r w:rsidR="001C4FB5">
              <w:rPr>
                <w:rFonts w:cs="PqvltsAdvPTimes"/>
                <w:color w:val="000000"/>
              </w:rPr>
              <w:t>.</w:t>
            </w:r>
            <w:r w:rsidR="00212794">
              <w:rPr>
                <w:rFonts w:cs="PqvltsAdvPTimes"/>
                <w:color w:val="000000"/>
              </w:rPr>
              <w:t xml:space="preserve"> </w:t>
            </w:r>
            <w:r w:rsidR="00212794">
              <w:rPr>
                <w:rFonts w:cs="PqvltsAdvPTimes"/>
              </w:rPr>
              <w:t>The developers also conducted p</w:t>
            </w:r>
            <w:r w:rsidR="00212794" w:rsidRPr="00E87599">
              <w:rPr>
                <w:rFonts w:cs="PqvltsAdvPTimes"/>
              </w:rPr>
              <w:t xml:space="preserve">rincipal component analysis on the standardized residuals </w:t>
            </w:r>
            <w:r w:rsidR="00212794">
              <w:rPr>
                <w:rFonts w:cs="PqvltsAdvPTimes"/>
              </w:rPr>
              <w:t>to assess HOOS, JR items</w:t>
            </w:r>
            <w:r w:rsidR="00212794" w:rsidRPr="00E87599">
              <w:rPr>
                <w:rFonts w:cs="PqvltsAdvPTimes"/>
              </w:rPr>
              <w:t xml:space="preserve">. </w:t>
            </w:r>
          </w:p>
          <w:p w14:paraId="79390196" w14:textId="77777777" w:rsidR="00C77647" w:rsidRDefault="00C77647" w:rsidP="00FC3F66">
            <w:pPr>
              <w:autoSpaceDE w:val="0"/>
              <w:autoSpaceDN w:val="0"/>
              <w:adjustRightInd w:val="0"/>
              <w:rPr>
                <w:rFonts w:cstheme="minorHAnsi"/>
                <w:bCs/>
              </w:rPr>
            </w:pPr>
          </w:p>
          <w:p w14:paraId="766BE776" w14:textId="6E505264" w:rsidR="005B2DD3" w:rsidRDefault="009C3E46" w:rsidP="005B2DD3">
            <w:pPr>
              <w:autoSpaceDE w:val="0"/>
              <w:autoSpaceDN w:val="0"/>
              <w:adjustRightInd w:val="0"/>
              <w:rPr>
                <w:rFonts w:cs="PqvltsAdvPTimes"/>
                <w:b/>
              </w:rPr>
            </w:pPr>
            <w:r w:rsidRPr="00E87599">
              <w:rPr>
                <w:rFonts w:cs="PqvltsAdvPTimes"/>
                <w:b/>
              </w:rPr>
              <w:t xml:space="preserve">Test-retest reliability: </w:t>
            </w:r>
            <w:r w:rsidRPr="009C3E46">
              <w:rPr>
                <w:rFonts w:cs="PqvltsAdvPTimes"/>
              </w:rPr>
              <w:t xml:space="preserve">Test-retest reliability </w:t>
            </w:r>
            <w:r w:rsidR="00AB58AC">
              <w:rPr>
                <w:rFonts w:cs="PqvltsAdvPTimes"/>
              </w:rPr>
              <w:t xml:space="preserve">was not tested by developers of the HOOS, JR as it had already been tested in the </w:t>
            </w:r>
            <w:r w:rsidRPr="00C77647">
              <w:rPr>
                <w:bCs/>
              </w:rPr>
              <w:t xml:space="preserve">Hip dysfunction and Osteoarthritis Outcome Score </w:t>
            </w:r>
            <w:r>
              <w:rPr>
                <w:bCs/>
              </w:rPr>
              <w:t>(HOOS) in several validation studies (Klassbo et al, 2003; de Groot et al, 2007; Ornetti et al, 2010</w:t>
            </w:r>
            <w:r w:rsidR="00405892">
              <w:rPr>
                <w:bCs/>
              </w:rPr>
              <w:t>; Nilsdotter &amp; Bremander, 2011</w:t>
            </w:r>
            <w:r>
              <w:rPr>
                <w:bCs/>
              </w:rPr>
              <w:t xml:space="preserve">). </w:t>
            </w:r>
            <w:r w:rsidR="005B2DD3">
              <w:rPr>
                <w:rFonts w:cs="PqvltsAdvPTimes"/>
              </w:rPr>
              <w:t>Intra-class correlation coefficients</w:t>
            </w:r>
            <w:r w:rsidR="00042DF6">
              <w:rPr>
                <w:rFonts w:cs="PqvltsAdvPTimes"/>
              </w:rPr>
              <w:t xml:space="preserve"> (ICCs)</w:t>
            </w:r>
            <w:r w:rsidR="005B2DD3">
              <w:rPr>
                <w:rFonts w:cs="PqvltsAdvPTimes"/>
              </w:rPr>
              <w:t xml:space="preserve"> between dimensions (Pain, Symptoms, Activities of Daily Living, Sport and Recreation Function, and Quality of Life) were used to determine test-retest reproducibility. </w:t>
            </w:r>
          </w:p>
          <w:p w14:paraId="5677C94F" w14:textId="77777777" w:rsidR="00FC6384" w:rsidRDefault="00FC6384" w:rsidP="00FC3F66">
            <w:pPr>
              <w:autoSpaceDE w:val="0"/>
              <w:autoSpaceDN w:val="0"/>
              <w:adjustRightInd w:val="0"/>
              <w:rPr>
                <w:bCs/>
              </w:rPr>
            </w:pPr>
          </w:p>
          <w:p w14:paraId="180B02F3" w14:textId="77777777" w:rsidR="007C3821" w:rsidRDefault="007C3821" w:rsidP="00FC3F66">
            <w:pPr>
              <w:autoSpaceDE w:val="0"/>
              <w:autoSpaceDN w:val="0"/>
              <w:adjustRightInd w:val="0"/>
              <w:rPr>
                <w:rFonts w:cstheme="minorHAnsi"/>
                <w:bCs/>
              </w:rPr>
            </w:pPr>
            <w:r w:rsidRPr="00FC3F66">
              <w:rPr>
                <w:rFonts w:cstheme="minorHAnsi"/>
                <w:b/>
                <w:bCs/>
              </w:rPr>
              <w:t>KOOS, JR Reliability</w:t>
            </w:r>
            <w:r>
              <w:rPr>
                <w:rFonts w:cstheme="minorHAnsi"/>
                <w:bCs/>
              </w:rPr>
              <w:t>:</w:t>
            </w:r>
          </w:p>
          <w:p w14:paraId="1CB976FD" w14:textId="259750DF" w:rsidR="00C0792B" w:rsidRPr="00E87599" w:rsidRDefault="00C0792B" w:rsidP="00C0792B">
            <w:pPr>
              <w:autoSpaceDE w:val="0"/>
              <w:autoSpaceDN w:val="0"/>
              <w:adjustRightInd w:val="0"/>
              <w:rPr>
                <w:rFonts w:cs="PqvltsAdvPTimes"/>
              </w:rPr>
            </w:pPr>
            <w:r w:rsidRPr="00C77647">
              <w:rPr>
                <w:rFonts w:cs="PqvltsAdvPTimes"/>
                <w:b/>
                <w:color w:val="000000"/>
              </w:rPr>
              <w:t>Internal consistency:</w:t>
            </w:r>
            <w:r w:rsidRPr="00C77647">
              <w:rPr>
                <w:rFonts w:cs="PqvltsAdvPTimes"/>
                <w:color w:val="000000"/>
              </w:rPr>
              <w:t xml:space="preserve"> The developers of the </w:t>
            </w:r>
            <w:r>
              <w:rPr>
                <w:rFonts w:cstheme="minorHAnsi"/>
                <w:bCs/>
              </w:rPr>
              <w:t xml:space="preserve">Knee injury and Osteoarthritis Outcome Score for Joint Replacement (KOOS, JR) </w:t>
            </w:r>
            <w:r w:rsidRPr="00C77647">
              <w:rPr>
                <w:rFonts w:cs="PqvltsAdvPTimes"/>
                <w:color w:val="000000"/>
              </w:rPr>
              <w:t>(Lyman et al, 2016</w:t>
            </w:r>
            <w:r w:rsidR="00336AEB">
              <w:rPr>
                <w:rFonts w:cs="PqvltsAdvPTimes"/>
                <w:color w:val="000000"/>
              </w:rPr>
              <w:t>b</w:t>
            </w:r>
            <w:r w:rsidRPr="00C77647">
              <w:rPr>
                <w:rFonts w:cs="PqvltsAdvPTimes"/>
                <w:color w:val="000000"/>
              </w:rPr>
              <w:t>)</w:t>
            </w:r>
            <w:r>
              <w:rPr>
                <w:rFonts w:cs="PqvltsAdvPTimes"/>
                <w:color w:val="000000"/>
              </w:rPr>
              <w:t xml:space="preserve"> </w:t>
            </w:r>
            <w:r w:rsidRPr="00C77647">
              <w:rPr>
                <w:rFonts w:cs="PqvltsAdvPTimes"/>
                <w:color w:val="000000"/>
              </w:rPr>
              <w:t>assessed internal consistency reliability of usi</w:t>
            </w:r>
            <w:r w:rsidR="00645877">
              <w:rPr>
                <w:rFonts w:cs="PqvltsAdvPTimes"/>
                <w:color w:val="000000"/>
              </w:rPr>
              <w:t>ng the PSI</w:t>
            </w:r>
            <w:r w:rsidRPr="00C77647">
              <w:rPr>
                <w:rFonts w:cs="PqvltsAdvPTimes"/>
                <w:color w:val="000000"/>
              </w:rPr>
              <w:t xml:space="preserve">. </w:t>
            </w:r>
            <w:r>
              <w:rPr>
                <w:rFonts w:cs="PqvltsAdvPTimes"/>
                <w:color w:val="000000"/>
              </w:rPr>
              <w:t xml:space="preserve">The </w:t>
            </w:r>
            <w:r w:rsidRPr="00E87599">
              <w:rPr>
                <w:rFonts w:cs="PqvltsAdvPTimes"/>
              </w:rPr>
              <w:t>PSI</w:t>
            </w:r>
            <w:r>
              <w:rPr>
                <w:rFonts w:cs="PqvltsAdvPTimes"/>
              </w:rPr>
              <w:t xml:space="preserve"> was used</w:t>
            </w:r>
            <w:r w:rsidRPr="00E87599">
              <w:rPr>
                <w:rFonts w:cs="PqvltsAdvPTimes"/>
              </w:rPr>
              <w:t xml:space="preserve"> in two data samples, the </w:t>
            </w:r>
            <w:r w:rsidR="00645877">
              <w:rPr>
                <w:rFonts w:cs="PqvltsAdvPTimes"/>
              </w:rPr>
              <w:t>HS</w:t>
            </w:r>
            <w:r w:rsidR="004238E0">
              <w:rPr>
                <w:rFonts w:cs="PqvltsAdvPTimes"/>
              </w:rPr>
              <w:t>S</w:t>
            </w:r>
            <w:r w:rsidRPr="00E87599">
              <w:rPr>
                <w:rFonts w:cs="PqvltsAdvPTimes"/>
              </w:rPr>
              <w:t xml:space="preserve"> cohort and the Function and Outcomes Research for Comparative Effectiveness in Total Joint Replacement (FORCE-TJR)</w:t>
            </w:r>
            <w:r>
              <w:rPr>
                <w:rFonts w:cs="PqvltsAdvPTimes"/>
              </w:rPr>
              <w:t>, a</w:t>
            </w:r>
            <w:r w:rsidRPr="00E87599">
              <w:rPr>
                <w:rFonts w:cs="PqvltsAdvPTimes"/>
              </w:rPr>
              <w:t xml:space="preserve"> nationally representative joint replacement registry. </w:t>
            </w:r>
            <w:r w:rsidRPr="00C77647">
              <w:rPr>
                <w:rFonts w:cs="PqvltsAdvPTimes"/>
                <w:color w:val="000000"/>
              </w:rPr>
              <w:t xml:space="preserve">A higher value on the PSI indicates greater ability to differentiate patients with varying levels of ability, which in turn provides evidence of good internal consistency. For testing internal consistency for the </w:t>
            </w:r>
            <w:r w:rsidR="007B2730">
              <w:rPr>
                <w:rFonts w:cs="PqvltsAdvPTimes"/>
                <w:color w:val="000000"/>
              </w:rPr>
              <w:t>K</w:t>
            </w:r>
            <w:r w:rsidRPr="00C77647">
              <w:rPr>
                <w:rFonts w:cs="PqvltsAdvPTimes"/>
                <w:color w:val="000000"/>
              </w:rPr>
              <w:t>OOS, JR, a PSI value greater tha</w:t>
            </w:r>
            <w:r w:rsidR="001C4FB5">
              <w:rPr>
                <w:rFonts w:cs="PqvltsAdvPTimes"/>
                <w:color w:val="000000"/>
              </w:rPr>
              <w:t>n 0.7 was considered acceptable</w:t>
            </w:r>
            <w:r w:rsidRPr="00C77647">
              <w:rPr>
                <w:rFonts w:cs="PqvltsAdvPTimes"/>
                <w:color w:val="000000"/>
              </w:rPr>
              <w:t xml:space="preserve"> (Lyman et al, 2016</w:t>
            </w:r>
            <w:r w:rsidR="00336AEB">
              <w:rPr>
                <w:rFonts w:cs="PqvltsAdvPTimes"/>
                <w:color w:val="000000"/>
              </w:rPr>
              <w:t>b</w:t>
            </w:r>
            <w:r w:rsidRPr="00C77647">
              <w:rPr>
                <w:rFonts w:cs="PqvltsAdvPTimes"/>
                <w:color w:val="000000"/>
              </w:rPr>
              <w:t>)</w:t>
            </w:r>
            <w:r w:rsidR="001C4FB5">
              <w:rPr>
                <w:rFonts w:cs="PqvltsAdvPTimes"/>
                <w:color w:val="000000"/>
              </w:rPr>
              <w:t>.</w:t>
            </w:r>
            <w:r>
              <w:rPr>
                <w:rFonts w:cs="PqvltsAdvPTimes"/>
                <w:color w:val="000000"/>
              </w:rPr>
              <w:t xml:space="preserve"> </w:t>
            </w:r>
            <w:r>
              <w:rPr>
                <w:rFonts w:cs="PqvltsAdvPTimes"/>
              </w:rPr>
              <w:t>The developers also conducted p</w:t>
            </w:r>
            <w:r w:rsidRPr="00E87599">
              <w:rPr>
                <w:rFonts w:cs="PqvltsAdvPTimes"/>
              </w:rPr>
              <w:t xml:space="preserve">rincipal component analysis on the standardized residuals </w:t>
            </w:r>
            <w:r>
              <w:rPr>
                <w:rFonts w:cs="PqvltsAdvPTimes"/>
              </w:rPr>
              <w:t xml:space="preserve">to assess </w:t>
            </w:r>
            <w:r w:rsidR="007B2730">
              <w:rPr>
                <w:rFonts w:cs="PqvltsAdvPTimes"/>
              </w:rPr>
              <w:t>K</w:t>
            </w:r>
            <w:r>
              <w:rPr>
                <w:rFonts w:cs="PqvltsAdvPTimes"/>
              </w:rPr>
              <w:t>OOS, JR items</w:t>
            </w:r>
            <w:r w:rsidRPr="00E87599">
              <w:rPr>
                <w:rFonts w:cs="PqvltsAdvPTimes"/>
              </w:rPr>
              <w:t xml:space="preserve">. </w:t>
            </w:r>
          </w:p>
          <w:p w14:paraId="12168A26" w14:textId="77777777" w:rsidR="00C0792B" w:rsidRDefault="00C0792B" w:rsidP="00C0792B">
            <w:pPr>
              <w:autoSpaceDE w:val="0"/>
              <w:autoSpaceDN w:val="0"/>
              <w:adjustRightInd w:val="0"/>
              <w:rPr>
                <w:rFonts w:cstheme="minorHAnsi"/>
                <w:bCs/>
              </w:rPr>
            </w:pPr>
          </w:p>
          <w:p w14:paraId="7CA00110" w14:textId="1A75BB72" w:rsidR="00C0792B" w:rsidRDefault="00336AEB" w:rsidP="00C0792B">
            <w:pPr>
              <w:autoSpaceDE w:val="0"/>
              <w:autoSpaceDN w:val="0"/>
              <w:adjustRightInd w:val="0"/>
              <w:rPr>
                <w:rFonts w:cs="PqvltsAdvPTimes"/>
                <w:b/>
              </w:rPr>
            </w:pPr>
            <w:r w:rsidRPr="00E87599">
              <w:rPr>
                <w:rFonts w:cs="PqvltsAdvPTimes"/>
                <w:b/>
              </w:rPr>
              <w:t xml:space="preserve">Test-retest reliability: </w:t>
            </w:r>
            <w:r w:rsidRPr="009C3E46">
              <w:rPr>
                <w:rFonts w:cs="PqvltsAdvPTimes"/>
              </w:rPr>
              <w:t xml:space="preserve">Test-retest reliability </w:t>
            </w:r>
            <w:r>
              <w:rPr>
                <w:rFonts w:cs="PqvltsAdvPTimes"/>
              </w:rPr>
              <w:t xml:space="preserve">was not tested by developers of the KOOS, JR as it had already been tested in the </w:t>
            </w:r>
            <w:r>
              <w:rPr>
                <w:rFonts w:cstheme="minorHAnsi"/>
                <w:bCs/>
              </w:rPr>
              <w:t>Knee injury and Osteoarthritis Outcome Score</w:t>
            </w:r>
            <w:r>
              <w:rPr>
                <w:bCs/>
              </w:rPr>
              <w:t xml:space="preserve"> (KOOS) (Roos et al, 1998). </w:t>
            </w:r>
            <w:r w:rsidR="005B2DD3">
              <w:rPr>
                <w:bCs/>
              </w:rPr>
              <w:t xml:space="preserve">To examine test-retest reliability, the KOOS was administered to patients twice prior to surgery within a nine-day period. </w:t>
            </w:r>
            <w:r w:rsidR="005B2DD3">
              <w:rPr>
                <w:rFonts w:cs="PqvltsAdvPTimes"/>
              </w:rPr>
              <w:t xml:space="preserve">Intra-class correlation coefficients </w:t>
            </w:r>
            <w:r w:rsidR="00042DF6">
              <w:rPr>
                <w:rFonts w:cs="PqvltsAdvPTimes"/>
              </w:rPr>
              <w:t xml:space="preserve">(ICCs) </w:t>
            </w:r>
            <w:r w:rsidR="005B2DD3">
              <w:rPr>
                <w:rFonts w:cs="PqvltsAdvPTimes"/>
              </w:rPr>
              <w:t xml:space="preserve">between dimensions (Pain, Symptoms, Activities of Daily Living, Sport and Recreation Function, and Quality of Life) were used to determine test-retest reproducibility. </w:t>
            </w:r>
          </w:p>
          <w:p w14:paraId="2155B47B" w14:textId="77777777" w:rsidR="00C0792B" w:rsidRDefault="00C0792B" w:rsidP="00C0792B">
            <w:pPr>
              <w:autoSpaceDE w:val="0"/>
              <w:autoSpaceDN w:val="0"/>
              <w:adjustRightInd w:val="0"/>
              <w:rPr>
                <w:bCs/>
              </w:rPr>
            </w:pPr>
          </w:p>
          <w:p w14:paraId="6B7044F2" w14:textId="050FC390" w:rsidR="00D90ADD" w:rsidRPr="005B2DD3" w:rsidRDefault="00D90ADD" w:rsidP="00FC3F66">
            <w:pPr>
              <w:autoSpaceDE w:val="0"/>
              <w:autoSpaceDN w:val="0"/>
              <w:adjustRightInd w:val="0"/>
              <w:rPr>
                <w:rFonts w:cstheme="minorHAnsi"/>
                <w:b/>
                <w:bCs/>
                <w:u w:val="single"/>
              </w:rPr>
            </w:pPr>
            <w:r w:rsidRPr="005B2DD3">
              <w:rPr>
                <w:rFonts w:cstheme="minorHAnsi"/>
                <w:b/>
                <w:bCs/>
                <w:u w:val="single"/>
              </w:rPr>
              <w:t>Measure Score Reliability</w:t>
            </w:r>
          </w:p>
          <w:p w14:paraId="41A853D7" w14:textId="3E010443" w:rsidR="00D90ADD" w:rsidRDefault="00D90ADD" w:rsidP="00FC3F66">
            <w:pPr>
              <w:autoSpaceDE w:val="0"/>
              <w:autoSpaceDN w:val="0"/>
              <w:adjustRightInd w:val="0"/>
              <w:rPr>
                <w:rFonts w:cstheme="minorHAnsi"/>
                <w:bCs/>
              </w:rPr>
            </w:pPr>
            <w:r w:rsidRPr="00D46B7B">
              <w:rPr>
                <w:rFonts w:cstheme="minorHAnsi"/>
                <w:bCs/>
              </w:rPr>
              <w:t>The reliability of a measurement is the degree to which repeated measurements of the same entity agree with each other</w:t>
            </w:r>
            <w:r>
              <w:rPr>
                <w:rFonts w:cstheme="minorHAnsi"/>
                <w:bCs/>
              </w:rPr>
              <w:t xml:space="preserve">. </w:t>
            </w:r>
            <w:r w:rsidRPr="00D46B7B">
              <w:rPr>
                <w:rFonts w:cstheme="minorHAnsi"/>
                <w:bCs/>
              </w:rPr>
              <w:t xml:space="preserve">For measures of hospital performance, the measured entity is the hospital, and reliability is the extent to which repeated measurements of the same hospital give similar results. </w:t>
            </w:r>
            <w:r>
              <w:rPr>
                <w:rFonts w:cstheme="minorHAnsi"/>
                <w:bCs/>
              </w:rPr>
              <w:t xml:space="preserve">Using the </w:t>
            </w:r>
            <w:r w:rsidR="00563490" w:rsidRPr="00600F12">
              <w:rPr>
                <w:rFonts w:cstheme="minorHAnsi"/>
                <w:b/>
                <w:bCs/>
              </w:rPr>
              <w:t>Combined Dataset</w:t>
            </w:r>
            <w:r w:rsidR="00563490">
              <w:rPr>
                <w:rFonts w:cstheme="minorHAnsi"/>
                <w:bCs/>
              </w:rPr>
              <w:t xml:space="preserve"> </w:t>
            </w:r>
            <w:r w:rsidR="00563490">
              <w:rPr>
                <w:rFonts w:cstheme="minorHAnsi"/>
                <w:b/>
                <w:bCs/>
              </w:rPr>
              <w:t>(</w:t>
            </w:r>
            <w:r w:rsidRPr="0082144F">
              <w:rPr>
                <w:rFonts w:cstheme="minorHAnsi"/>
                <w:b/>
                <w:bCs/>
              </w:rPr>
              <w:t>Development</w:t>
            </w:r>
            <w:r>
              <w:rPr>
                <w:rFonts w:cstheme="minorHAnsi"/>
                <w:bCs/>
              </w:rPr>
              <w:t xml:space="preserve"> and </w:t>
            </w:r>
            <w:r w:rsidR="00A711E1" w:rsidRPr="0082144F">
              <w:rPr>
                <w:rFonts w:cstheme="minorHAnsi"/>
                <w:b/>
                <w:bCs/>
              </w:rPr>
              <w:t>Validation Dataset</w:t>
            </w:r>
            <w:r w:rsidRPr="0082144F">
              <w:rPr>
                <w:rFonts w:cstheme="minorHAnsi"/>
                <w:b/>
                <w:bCs/>
              </w:rPr>
              <w:t>s</w:t>
            </w:r>
            <w:r w:rsidR="00563490">
              <w:rPr>
                <w:rFonts w:cstheme="minorHAnsi"/>
                <w:b/>
                <w:bCs/>
              </w:rPr>
              <w:t>)</w:t>
            </w:r>
            <w:r>
              <w:rPr>
                <w:rFonts w:cstheme="minorHAnsi"/>
                <w:bCs/>
              </w:rPr>
              <w:t>, we identified the hospitals</w:t>
            </w:r>
            <w:r w:rsidR="00ED1277">
              <w:rPr>
                <w:rFonts w:cstheme="minorHAnsi"/>
                <w:bCs/>
              </w:rPr>
              <w:t xml:space="preserve"> with </w:t>
            </w:r>
            <w:r>
              <w:rPr>
                <w:rFonts w:cstheme="minorHAnsi"/>
                <w:bCs/>
              </w:rPr>
              <w:t>at least 25 THA/TKA</w:t>
            </w:r>
            <w:r w:rsidR="00ED1277">
              <w:rPr>
                <w:rFonts w:cstheme="minorHAnsi"/>
                <w:bCs/>
              </w:rPr>
              <w:t xml:space="preserve"> patient</w:t>
            </w:r>
            <w:r>
              <w:rPr>
                <w:rFonts w:cstheme="minorHAnsi"/>
                <w:bCs/>
              </w:rPr>
              <w:t>s</w:t>
            </w:r>
            <w:r w:rsidR="00ED1277">
              <w:rPr>
                <w:rFonts w:cstheme="minorHAnsi"/>
                <w:bCs/>
              </w:rPr>
              <w:t xml:space="preserve"> with PRO data</w:t>
            </w:r>
            <w:r>
              <w:rPr>
                <w:rFonts w:cstheme="minorHAnsi"/>
                <w:bCs/>
              </w:rPr>
              <w:t xml:space="preserve"> during the measurement period and assessed signal-to-noise reliability to describe how well the measure can distinguish performance of one hospital from another (</w:t>
            </w:r>
            <w:r w:rsidRPr="00BF7C83">
              <w:rPr>
                <w:rFonts w:cstheme="minorHAnsi"/>
                <w:bCs/>
              </w:rPr>
              <w:t>Adams and Mehrota, 2010; Yu and Mehrota, 2013</w:t>
            </w:r>
            <w:r>
              <w:rPr>
                <w:rFonts w:cstheme="minorHAnsi"/>
                <w:bCs/>
              </w:rPr>
              <w:t>)</w:t>
            </w:r>
            <w:r w:rsidRPr="00D46B7B">
              <w:rPr>
                <w:rFonts w:cstheme="minorHAnsi"/>
                <w:bCs/>
              </w:rPr>
              <w:t>. The signal is the proportion of the variability in measured performance that can be explained by real differences in performance. Scores can range from 0 to 1. A reliability of zero implies that all the variability in a measure is attributable to measurement error. A</w:t>
            </w:r>
            <w:r>
              <w:rPr>
                <w:rFonts w:cstheme="minorHAnsi"/>
                <w:bCs/>
              </w:rPr>
              <w:t xml:space="preserve"> reliability of one implies that all the variability is attributable to real difference in performance</w:t>
            </w:r>
            <w:r w:rsidR="001C4FB5">
              <w:rPr>
                <w:rFonts w:cstheme="minorHAnsi"/>
                <w:bCs/>
              </w:rPr>
              <w:t>.</w:t>
            </w:r>
          </w:p>
          <w:p w14:paraId="71A53AD1" w14:textId="77777777" w:rsidR="00D90ADD" w:rsidRDefault="00D90ADD" w:rsidP="00FC3F66">
            <w:pPr>
              <w:autoSpaceDE w:val="0"/>
              <w:autoSpaceDN w:val="0"/>
              <w:adjustRightInd w:val="0"/>
              <w:rPr>
                <w:rFonts w:cstheme="minorHAnsi"/>
                <w:bCs/>
              </w:rPr>
            </w:pPr>
          </w:p>
          <w:p w14:paraId="371FD3B6" w14:textId="36C93602" w:rsidR="00FC3F66" w:rsidRPr="00D90ADD" w:rsidRDefault="00D90ADD" w:rsidP="000B3754">
            <w:pPr>
              <w:autoSpaceDE w:val="0"/>
              <w:autoSpaceDN w:val="0"/>
              <w:adjustRightInd w:val="0"/>
              <w:spacing w:before="120" w:after="120"/>
              <w:rPr>
                <w:rFonts w:cstheme="minorHAnsi"/>
                <w:bCs/>
                <w:u w:val="single"/>
              </w:rPr>
            </w:pPr>
            <w:r w:rsidRPr="00D90ADD">
              <w:rPr>
                <w:rFonts w:cstheme="minorHAnsi"/>
                <w:bCs/>
                <w:u w:val="single"/>
              </w:rPr>
              <w:t>References:</w:t>
            </w:r>
          </w:p>
          <w:p w14:paraId="25AC7DBE" w14:textId="412E6531" w:rsidR="000B3754" w:rsidRDefault="000B3754" w:rsidP="000B3754">
            <w:pPr>
              <w:spacing w:before="120" w:after="120"/>
            </w:pPr>
            <w:r>
              <w:t xml:space="preserve">Adams </w:t>
            </w:r>
            <w:r w:rsidRPr="00BF7C83">
              <w:t>J, Mehrota, A, Thoman J, McGlynn, E. (2010). Physician cost profiling – reliability and risk of misclassification. NEJM, 362(11):</w:t>
            </w:r>
            <w:r>
              <w:t xml:space="preserve"> 1014-1021.</w:t>
            </w:r>
          </w:p>
          <w:p w14:paraId="4246440A" w14:textId="533ECFDB" w:rsidR="00391893" w:rsidRDefault="00391893" w:rsidP="000B3754">
            <w:pPr>
              <w:spacing w:before="120" w:after="120"/>
            </w:pPr>
            <w:r>
              <w:t>d</w:t>
            </w:r>
            <w:r w:rsidR="009C3E46">
              <w:t xml:space="preserve">e Groot </w:t>
            </w:r>
            <w:r>
              <w:t>I</w:t>
            </w:r>
            <w:r w:rsidR="009C3E46">
              <w:t>B, Reijman M, Terwee CB, Bierma-Zei</w:t>
            </w:r>
            <w:r>
              <w:t>nstra SM, Favejee M, Roos EM, Verhaar JA</w:t>
            </w:r>
            <w:r w:rsidR="009C3E46">
              <w:t xml:space="preserve">. (2007). Validation of the Dutch version of the Hip disability and Osteoarthritis Outcome Score. </w:t>
            </w:r>
            <w:r>
              <w:t>Osteoarthritis and Cartilage, 15:104-109.</w:t>
            </w:r>
          </w:p>
          <w:p w14:paraId="434FB13E" w14:textId="3D87212F" w:rsidR="00D256F6" w:rsidRPr="00D256F6" w:rsidRDefault="00D36198" w:rsidP="000B3754">
            <w:pPr>
              <w:spacing w:before="120" w:after="120"/>
            </w:pPr>
            <w:r w:rsidRPr="00D256F6">
              <w:t xml:space="preserve">Irgit, K., &amp; Nelson, C. L. (2011). Defining Racial and Ethnic Disparities in THA and TKA. Clinical Orthopaedics and Related Research®, 469(7), 1817–1823. </w:t>
            </w:r>
          </w:p>
          <w:p w14:paraId="344B7B76" w14:textId="509C1510" w:rsidR="00D256F6" w:rsidRPr="00D256F6" w:rsidRDefault="00D256F6" w:rsidP="000B3754">
            <w:pPr>
              <w:spacing w:before="120" w:after="120"/>
            </w:pPr>
            <w:r w:rsidRPr="00D256F6">
              <w:t xml:space="preserve">Kerman, H. M., Smith, S. R., Smith, K. C., Collins, J. E., Suter, L. G., Katz, J. N., &amp; Losina, E. (2018). Disparities in Total Knee Replacement: Population Losses in Quality-Adjusted Life-Years Due to Differential Offer, Acceptance, and Complication Rates for African Americans. Arthritis Care &amp; Research, 70(9), 1326–1334. </w:t>
            </w:r>
          </w:p>
          <w:p w14:paraId="7C9DF671" w14:textId="534F032C" w:rsidR="00391893" w:rsidRDefault="00391893" w:rsidP="000B3754">
            <w:pPr>
              <w:spacing w:before="120" w:after="120"/>
            </w:pPr>
            <w:r>
              <w:t>Klässbo M, Larsson E, Mannevik E. (2003). Hip disability and osteoarthritis outcome score: An extension of the Western Ontario and McMaster Universities Osteoarthritis Index. Scandinavian Journal of Rheumatology, 32(1), 46-51.</w:t>
            </w:r>
          </w:p>
          <w:p w14:paraId="63F4B269" w14:textId="64CBDE10" w:rsidR="000B3754" w:rsidRDefault="000B3754" w:rsidP="000B3754">
            <w:pPr>
              <w:pStyle w:val="EndNoteBibliography"/>
              <w:spacing w:before="120" w:after="120"/>
            </w:pPr>
            <w:r>
              <w:t>Lyman S, Lee Y</w:t>
            </w:r>
            <w:r w:rsidRPr="00E55980">
              <w:t xml:space="preserve">Y, Franklin PD, Li W, Mayman DJ, Padgett DE. </w:t>
            </w:r>
            <w:r w:rsidR="009C3E46">
              <w:t>(2016</w:t>
            </w:r>
            <w:r w:rsidR="00336AEB">
              <w:t>a</w:t>
            </w:r>
            <w:r w:rsidR="009C3E46">
              <w:t xml:space="preserve">). </w:t>
            </w:r>
            <w:r w:rsidRPr="00E55980">
              <w:t>Validatio</w:t>
            </w:r>
            <w:r>
              <w:t xml:space="preserve">n of the HOOS, JR: A Short-form </w:t>
            </w:r>
            <w:r w:rsidRPr="00E55980">
              <w:t xml:space="preserve">Hip Replacement Survey. </w:t>
            </w:r>
            <w:r w:rsidRPr="00E55980">
              <w:rPr>
                <w:i/>
              </w:rPr>
              <w:t>Clinical Orth</w:t>
            </w:r>
            <w:r w:rsidR="009C3E46">
              <w:rPr>
                <w:i/>
              </w:rPr>
              <w:t>opaedics and Related Research®</w:t>
            </w:r>
            <w:r w:rsidR="009C3E46" w:rsidRPr="009C3E46">
              <w:t>,</w:t>
            </w:r>
            <w:r w:rsidR="009C3E46">
              <w:rPr>
                <w:i/>
              </w:rPr>
              <w:t xml:space="preserve"> </w:t>
            </w:r>
            <w:r w:rsidRPr="00E55980">
              <w:t>474(6):1472-1482.</w:t>
            </w:r>
          </w:p>
          <w:p w14:paraId="6867A2C7" w14:textId="7C12F981" w:rsidR="000B3754" w:rsidRDefault="000B3754" w:rsidP="000B3754">
            <w:pPr>
              <w:spacing w:before="120" w:after="120"/>
            </w:pPr>
            <w:r>
              <w:t>Lyman S, Lee Y</w:t>
            </w:r>
            <w:r w:rsidRPr="00E55980">
              <w:t>Y, Franklin PD, Li W, Cross MB, Padgett DE.</w:t>
            </w:r>
            <w:r w:rsidR="009C3E46">
              <w:t xml:space="preserve"> (2016</w:t>
            </w:r>
            <w:r w:rsidR="00336AEB">
              <w:t>b</w:t>
            </w:r>
            <w:r w:rsidR="009C3E46">
              <w:t>).</w:t>
            </w:r>
            <w:r w:rsidRPr="00E55980">
              <w:t xml:space="preserve"> Validation of the KOOS, JR: A Short-form Knee Arthroplasty Outcomes Survey. </w:t>
            </w:r>
            <w:r w:rsidRPr="00E55980">
              <w:rPr>
                <w:i/>
              </w:rPr>
              <w:t>Clinical Orth</w:t>
            </w:r>
            <w:r w:rsidR="009C3E46">
              <w:rPr>
                <w:i/>
              </w:rPr>
              <w:t>opaedics and Related Research®</w:t>
            </w:r>
            <w:r w:rsidR="009C3E46" w:rsidRPr="009C3E46">
              <w:t>,</w:t>
            </w:r>
            <w:r w:rsidR="009C3E46">
              <w:t xml:space="preserve"> </w:t>
            </w:r>
            <w:r w:rsidRPr="00E55980">
              <w:t>474(6):1461-1471.</w:t>
            </w:r>
          </w:p>
          <w:p w14:paraId="6ADCA633" w14:textId="2340B949" w:rsidR="000B3754" w:rsidRDefault="000B3754" w:rsidP="000B3754">
            <w:pPr>
              <w:autoSpaceDE w:val="0"/>
              <w:autoSpaceDN w:val="0"/>
              <w:adjustRightInd w:val="0"/>
              <w:spacing w:before="120" w:after="120"/>
            </w:pPr>
            <w:r w:rsidRPr="00931865">
              <w:t xml:space="preserve">Nilsdotter A, Bremander A. (2011). Measures of </w:t>
            </w:r>
            <w:r>
              <w:t>hips function and s</w:t>
            </w:r>
            <w:r w:rsidRPr="00931865">
              <w:t>ymptoms: Harris Hip Score (HHS), Hip Disability and Osteoar</w:t>
            </w:r>
            <w:r w:rsidR="00574BE6">
              <w:t>thritis Outcome Score (HOOS), Ox</w:t>
            </w:r>
            <w:r w:rsidRPr="00931865">
              <w:t>ford Hip Score (OHS), Lequesne Index of Severity of Osteoarthritis of the Hip (LISOH), and American Academy of Orthopedic Surgeons (AAOS) Hip and Knee Questionnaire. Arthritis Care &amp; Research, 63(S11): S200-S207</w:t>
            </w:r>
            <w:r>
              <w:t>.</w:t>
            </w:r>
          </w:p>
          <w:p w14:paraId="1FB904B6" w14:textId="52A38A46" w:rsidR="00405892" w:rsidRDefault="00405892" w:rsidP="000B3754">
            <w:pPr>
              <w:autoSpaceDE w:val="0"/>
              <w:autoSpaceDN w:val="0"/>
              <w:adjustRightInd w:val="0"/>
              <w:spacing w:before="120" w:after="120"/>
            </w:pPr>
            <w:r>
              <w:t>Ornetti P, Parratte S, Gossec L, Tavernier C, Argenson JN, Roos EM, Guillemin F, Maillefert JF. (2010). Cross-cultural adaptation and validation of the French version of the Hip disability and Osteoarthritis Outcome Score (HOOS) in hip osteoarthritis patients. Osteoarthritis and Cartilage, 18:522-529.</w:t>
            </w:r>
          </w:p>
          <w:p w14:paraId="5AB52ABB" w14:textId="73353C98" w:rsidR="00336AEB" w:rsidRDefault="00336AEB" w:rsidP="000B3754">
            <w:pPr>
              <w:autoSpaceDE w:val="0"/>
              <w:autoSpaceDN w:val="0"/>
              <w:adjustRightInd w:val="0"/>
              <w:spacing w:before="120" w:after="120"/>
            </w:pPr>
            <w:r>
              <w:rPr>
                <w:rFonts w:cstheme="minorHAnsi"/>
                <w:bCs/>
              </w:rPr>
              <w:lastRenderedPageBreak/>
              <w:t>Roos EM, Roos HP, Lohmander LS, Ekdahl C, Beynnon BD. (1998). Knee Injury and Osteoarthritis Outcome Score (KOOS)—development of a self-administered outcome measure. J Orthop Sports Phys Ther, 8(2):88-96.</w:t>
            </w:r>
          </w:p>
          <w:p w14:paraId="3BA04F30" w14:textId="43BB8CD8" w:rsidR="00394224" w:rsidRDefault="00D90ADD" w:rsidP="000B3754">
            <w:pPr>
              <w:autoSpaceDE w:val="0"/>
              <w:autoSpaceDN w:val="0"/>
              <w:adjustRightInd w:val="0"/>
              <w:spacing w:before="120" w:after="120"/>
              <w:rPr>
                <w:rFonts w:cstheme="minorHAnsi"/>
                <w:bCs/>
              </w:rPr>
            </w:pPr>
            <w:r>
              <w:t>Yu H, Mehrota</w:t>
            </w:r>
            <w:r w:rsidRPr="00BF7C83">
              <w:t xml:space="preserve"> A, Adams J. (2013). Reliability of utilization measures for primary care physician profiling. Healthcare, 1</w:t>
            </w:r>
            <w:r w:rsidR="000B3754">
              <w:t>:</w:t>
            </w:r>
            <w:r w:rsidRPr="00BF7C83">
              <w:t>22-</w:t>
            </w:r>
            <w:r>
              <w:t>29.</w:t>
            </w:r>
          </w:p>
        </w:tc>
      </w:tr>
    </w:tbl>
    <w:p w14:paraId="06755271" w14:textId="77777777" w:rsidR="00394224" w:rsidRPr="00A25024" w:rsidRDefault="00394224" w:rsidP="008C54A9">
      <w:pPr>
        <w:autoSpaceDE w:val="0"/>
        <w:autoSpaceDN w:val="0"/>
        <w:adjustRightInd w:val="0"/>
        <w:spacing w:after="0" w:line="240" w:lineRule="auto"/>
        <w:rPr>
          <w:rFonts w:cstheme="minorHAnsi"/>
          <w:bCs/>
        </w:rPr>
      </w:pP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7DEDE3E6" w14:textId="77777777" w:rsidR="003942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669A216C" w14:textId="77777777" w:rsidTr="00062A58">
        <w:tc>
          <w:tcPr>
            <w:tcW w:w="9350" w:type="dxa"/>
          </w:tcPr>
          <w:p w14:paraId="0FA86C08" w14:textId="2513CB78" w:rsidR="005A2BD3" w:rsidRPr="003F1408" w:rsidRDefault="005A2BD3" w:rsidP="00062A58">
            <w:pPr>
              <w:autoSpaceDE w:val="0"/>
              <w:autoSpaceDN w:val="0"/>
              <w:adjustRightInd w:val="0"/>
              <w:rPr>
                <w:rFonts w:cstheme="minorHAnsi"/>
                <w:b/>
                <w:bCs/>
                <w:u w:val="single"/>
              </w:rPr>
            </w:pPr>
            <w:r w:rsidRPr="003F1408">
              <w:rPr>
                <w:rFonts w:cstheme="minorHAnsi"/>
                <w:b/>
                <w:bCs/>
                <w:u w:val="single"/>
              </w:rPr>
              <w:t>Data Element Reliability Results</w:t>
            </w:r>
          </w:p>
          <w:p w14:paraId="5E1DC9E0" w14:textId="5B04781F" w:rsidR="00AB58AC" w:rsidRDefault="00AB58AC" w:rsidP="00AB58AC">
            <w:pPr>
              <w:autoSpaceDE w:val="0"/>
              <w:autoSpaceDN w:val="0"/>
              <w:adjustRightInd w:val="0"/>
              <w:rPr>
                <w:rFonts w:cstheme="minorHAnsi"/>
                <w:bCs/>
              </w:rPr>
            </w:pPr>
            <w:r>
              <w:rPr>
                <w:rFonts w:cstheme="minorHAnsi"/>
                <w:bCs/>
              </w:rPr>
              <w:t xml:space="preserve">Data element reliability results are reported for reliability testing conducted during the development and testing of the </w:t>
            </w:r>
            <w:r w:rsidR="00210D90">
              <w:rPr>
                <w:rFonts w:cstheme="minorHAnsi"/>
                <w:bCs/>
              </w:rPr>
              <w:t>joint</w:t>
            </w:r>
            <w:r>
              <w:rPr>
                <w:rFonts w:cstheme="minorHAnsi"/>
                <w:bCs/>
              </w:rPr>
              <w:t xml:space="preserve">-specific </w:t>
            </w:r>
            <w:r w:rsidR="00210D90">
              <w:rPr>
                <w:rFonts w:cstheme="minorHAnsi"/>
                <w:bCs/>
              </w:rPr>
              <w:t>PROMs</w:t>
            </w:r>
            <w:r>
              <w:rPr>
                <w:rFonts w:cstheme="minorHAnsi"/>
                <w:bCs/>
              </w:rPr>
              <w:t xml:space="preserve"> on which this THA/TKA PRO-PM is based. </w:t>
            </w:r>
          </w:p>
          <w:p w14:paraId="740CB649" w14:textId="6FF7484C" w:rsidR="001D3AA7" w:rsidRDefault="001D3AA7" w:rsidP="00062A58">
            <w:pPr>
              <w:autoSpaceDE w:val="0"/>
              <w:autoSpaceDN w:val="0"/>
              <w:adjustRightInd w:val="0"/>
              <w:rPr>
                <w:rFonts w:cstheme="minorHAnsi"/>
                <w:bCs/>
                <w:u w:val="single"/>
              </w:rPr>
            </w:pPr>
          </w:p>
          <w:p w14:paraId="122F9B47" w14:textId="77777777" w:rsidR="00580FC5" w:rsidRPr="00A82027" w:rsidRDefault="00580FC5" w:rsidP="00580FC5">
            <w:pPr>
              <w:autoSpaceDE w:val="0"/>
              <w:autoSpaceDN w:val="0"/>
              <w:adjustRightInd w:val="0"/>
              <w:rPr>
                <w:rFonts w:cstheme="minorHAnsi"/>
                <w:b/>
                <w:bCs/>
              </w:rPr>
            </w:pPr>
            <w:r w:rsidRPr="00A82027">
              <w:rPr>
                <w:rFonts w:cstheme="minorHAnsi"/>
                <w:b/>
                <w:bCs/>
              </w:rPr>
              <w:t>HOOS, JR Reliability:</w:t>
            </w:r>
          </w:p>
          <w:p w14:paraId="597D733E" w14:textId="7A3F5587" w:rsidR="00AB58AC" w:rsidRPr="00C77647" w:rsidRDefault="00AB58AC" w:rsidP="00AB58AC">
            <w:pPr>
              <w:autoSpaceDE w:val="0"/>
              <w:autoSpaceDN w:val="0"/>
              <w:adjustRightInd w:val="0"/>
              <w:rPr>
                <w:rFonts w:cs="PqvltsAdvPTimes"/>
                <w:color w:val="000000"/>
              </w:rPr>
            </w:pPr>
            <w:r w:rsidRPr="00C77647">
              <w:rPr>
                <w:rFonts w:cs="PqvltsAdvPTimes"/>
                <w:b/>
                <w:color w:val="000000"/>
              </w:rPr>
              <w:t>Internal consistency:</w:t>
            </w:r>
            <w:r w:rsidRPr="00C77647">
              <w:rPr>
                <w:rFonts w:cs="PqvltsAdvPTimes"/>
                <w:color w:val="000000"/>
              </w:rPr>
              <w:t xml:space="preserve"> The developers of the </w:t>
            </w:r>
            <w:r w:rsidRPr="00C77647">
              <w:rPr>
                <w:bCs/>
              </w:rPr>
              <w:t xml:space="preserve">HOOS, JR </w:t>
            </w:r>
            <w:r w:rsidRPr="00C77647">
              <w:rPr>
                <w:rFonts w:cs="PqvltsAdvPTimes"/>
                <w:color w:val="000000"/>
              </w:rPr>
              <w:t>(Lyman et al, 2016</w:t>
            </w:r>
            <w:r w:rsidR="00336AEB">
              <w:rPr>
                <w:rFonts w:cs="PqvltsAdvPTimes"/>
                <w:color w:val="000000"/>
              </w:rPr>
              <w:t>a</w:t>
            </w:r>
            <w:r w:rsidRPr="00C77647">
              <w:rPr>
                <w:rFonts w:cs="PqvltsAdvPTimes"/>
                <w:color w:val="000000"/>
              </w:rPr>
              <w:t>)</w:t>
            </w:r>
            <w:r>
              <w:rPr>
                <w:rFonts w:cs="PqvltsAdvPTimes"/>
                <w:color w:val="000000"/>
              </w:rPr>
              <w:t xml:space="preserve"> </w:t>
            </w:r>
            <w:r w:rsidRPr="00C77647">
              <w:rPr>
                <w:rFonts w:cs="PqvltsAdvPTimes"/>
                <w:color w:val="000000"/>
              </w:rPr>
              <w:t xml:space="preserve">assessed internal consistency reliability of using the Person Separation Index (PSI). </w:t>
            </w:r>
            <w:r w:rsidR="00212794">
              <w:rPr>
                <w:rFonts w:cs="PqvltsAdvPTimes"/>
                <w:color w:val="000000"/>
              </w:rPr>
              <w:t>Internal consistency of t</w:t>
            </w:r>
            <w:r w:rsidRPr="00E87599">
              <w:rPr>
                <w:rFonts w:cs="PqvltsAdvPTimes"/>
              </w:rPr>
              <w:t xml:space="preserve">he HOOS, JR </w:t>
            </w:r>
            <w:r w:rsidR="00212794">
              <w:rPr>
                <w:rFonts w:cs="PqvltsAdvPTimes"/>
              </w:rPr>
              <w:t>on the PSI were 0.86 in</w:t>
            </w:r>
            <w:r>
              <w:rPr>
                <w:rFonts w:cs="PqvltsAdvPTimes"/>
              </w:rPr>
              <w:t xml:space="preserve"> the </w:t>
            </w:r>
            <w:r w:rsidR="00645877">
              <w:rPr>
                <w:rFonts w:cs="PqvltsAdvPTimes"/>
              </w:rPr>
              <w:t>HS</w:t>
            </w:r>
            <w:r w:rsidR="004238E0">
              <w:rPr>
                <w:rFonts w:cs="PqvltsAdvPTimes"/>
              </w:rPr>
              <w:t>S</w:t>
            </w:r>
            <w:r w:rsidR="00212794">
              <w:rPr>
                <w:rFonts w:cs="PqvltsAdvPTimes"/>
              </w:rPr>
              <w:t xml:space="preserve"> cohort</w:t>
            </w:r>
            <w:r w:rsidRPr="00E87599">
              <w:rPr>
                <w:rFonts w:cs="PqvltsAdvPTimes"/>
              </w:rPr>
              <w:t xml:space="preserve"> and </w:t>
            </w:r>
            <w:r w:rsidR="00212794">
              <w:rPr>
                <w:rFonts w:cs="PqvltsAdvPTimes"/>
              </w:rPr>
              <w:t xml:space="preserve">0.87 in </w:t>
            </w:r>
            <w:r w:rsidRPr="00E87599">
              <w:rPr>
                <w:rFonts w:cs="PqvltsAdvPTimes"/>
              </w:rPr>
              <w:t xml:space="preserve">the Function and Outcomes Research for Comparative Effectiveness in Total Joint Replacement (FORCE-TJR) </w:t>
            </w:r>
            <w:r>
              <w:rPr>
                <w:rFonts w:cs="PqvltsAdvPTimes"/>
              </w:rPr>
              <w:t>cohort</w:t>
            </w:r>
            <w:r w:rsidRPr="00E87599">
              <w:rPr>
                <w:rFonts w:cs="PqvltsAdvPTimes"/>
              </w:rPr>
              <w:t>.</w:t>
            </w:r>
            <w:r>
              <w:rPr>
                <w:rFonts w:cs="PqvltsAdvPTimes"/>
              </w:rPr>
              <w:t xml:space="preserve"> Results of a principal component analysis conducted on the standardized residuals indicated that the six HOOS, JR items </w:t>
            </w:r>
            <w:r w:rsidR="00212794">
              <w:rPr>
                <w:rFonts w:cs="PqvltsAdvPTimes"/>
              </w:rPr>
              <w:t>existed in a single dimension (Lyman et al, 2016</w:t>
            </w:r>
            <w:r w:rsidR="00336AEB">
              <w:rPr>
                <w:rFonts w:cs="PqvltsAdvPTimes"/>
              </w:rPr>
              <w:t>a</w:t>
            </w:r>
            <w:r w:rsidR="00212794">
              <w:rPr>
                <w:rFonts w:cs="PqvltsAdvPTimes"/>
              </w:rPr>
              <w:t>).</w:t>
            </w:r>
          </w:p>
          <w:p w14:paraId="799F2A01" w14:textId="77777777" w:rsidR="00580FC5" w:rsidRDefault="00580FC5" w:rsidP="00580FC5">
            <w:pPr>
              <w:autoSpaceDE w:val="0"/>
              <w:autoSpaceDN w:val="0"/>
              <w:adjustRightInd w:val="0"/>
              <w:rPr>
                <w:rFonts w:cstheme="minorHAnsi"/>
                <w:bCs/>
              </w:rPr>
            </w:pPr>
          </w:p>
          <w:p w14:paraId="78A28C0E" w14:textId="0CE6F4A8" w:rsidR="00212794" w:rsidRPr="00E87599" w:rsidRDefault="00212794" w:rsidP="00212794">
            <w:pPr>
              <w:autoSpaceDE w:val="0"/>
              <w:autoSpaceDN w:val="0"/>
              <w:adjustRightInd w:val="0"/>
              <w:rPr>
                <w:rFonts w:cs="PqvltsAdvPTimes"/>
              </w:rPr>
            </w:pPr>
            <w:r w:rsidRPr="00E87599">
              <w:rPr>
                <w:rFonts w:cs="PqvltsAdvPTimes"/>
                <w:b/>
              </w:rPr>
              <w:t xml:space="preserve">Test-retest reliability: </w:t>
            </w:r>
            <w:r w:rsidRPr="009C3E46">
              <w:rPr>
                <w:rFonts w:cs="PqvltsAdvPTimes"/>
              </w:rPr>
              <w:t xml:space="preserve">Test-retest reliability </w:t>
            </w:r>
            <w:r>
              <w:rPr>
                <w:rFonts w:cs="PqvltsAdvPTimes"/>
              </w:rPr>
              <w:t xml:space="preserve">was not tested by developers of the HOOS, JR as it had already been tested in the </w:t>
            </w:r>
            <w:r w:rsidRPr="00C77647">
              <w:rPr>
                <w:bCs/>
              </w:rPr>
              <w:t xml:space="preserve">Hip dysfunction and Osteoarthritis Outcome Score </w:t>
            </w:r>
            <w:r>
              <w:rPr>
                <w:bCs/>
              </w:rPr>
              <w:t xml:space="preserve">(HOOS) in several validation studies (Klassbo et al, 2003; de Groot et al, 2007; Ornetti et al, 2010; Nilsdotter &amp; Bremander, 2011). </w:t>
            </w:r>
            <w:r>
              <w:rPr>
                <w:rFonts w:cs="PqvltsAdvPTimes"/>
              </w:rPr>
              <w:t xml:space="preserve">Intra-class correlation coefficients </w:t>
            </w:r>
            <w:r w:rsidR="00042DF6">
              <w:rPr>
                <w:rFonts w:cs="PqvltsAdvPTimes"/>
              </w:rPr>
              <w:t xml:space="preserve">(ICCs) </w:t>
            </w:r>
            <w:r>
              <w:rPr>
                <w:rFonts w:cs="PqvltsAdvPTimes"/>
              </w:rPr>
              <w:t xml:space="preserve">were used to determine test-retest </w:t>
            </w:r>
            <w:r w:rsidR="00B66E1C">
              <w:rPr>
                <w:rFonts w:cs="PqvltsAdvPTimes"/>
              </w:rPr>
              <w:t>reproducibility</w:t>
            </w:r>
            <w:r w:rsidR="00B86A0A">
              <w:rPr>
                <w:rFonts w:cs="PqvltsAdvPTimes"/>
              </w:rPr>
              <w:t xml:space="preserve"> and ranged from 0.75 to 0.97 in the validation studies. Spec</w:t>
            </w:r>
            <w:r w:rsidR="00885FDE">
              <w:rPr>
                <w:rFonts w:cs="PqvltsAdvPTimes"/>
              </w:rPr>
              <w:t xml:space="preserve">ifically, the Pain and Activity of </w:t>
            </w:r>
            <w:r w:rsidR="00B86A0A">
              <w:rPr>
                <w:rFonts w:cs="PqvltsAdvPTimes"/>
              </w:rPr>
              <w:t xml:space="preserve">Daily Living </w:t>
            </w:r>
            <w:r w:rsidR="00E30DBC">
              <w:rPr>
                <w:rFonts w:cs="PqvltsAdvPTimes"/>
              </w:rPr>
              <w:t>domains</w:t>
            </w:r>
            <w:r w:rsidR="00B86A0A">
              <w:rPr>
                <w:rFonts w:cs="PqvltsAdvPTimes"/>
              </w:rPr>
              <w:t>, from which HOOS, JR pain and functioning que</w:t>
            </w:r>
            <w:r w:rsidR="00042DF6">
              <w:rPr>
                <w:rFonts w:cs="PqvltsAdvPTimes"/>
              </w:rPr>
              <w:t>stions are drawn, had ICC</w:t>
            </w:r>
            <w:r w:rsidR="00B86A0A">
              <w:rPr>
                <w:rFonts w:cs="PqvltsAdvPTimes"/>
              </w:rPr>
              <w:t xml:space="preserve">s of 0.83 - 0.89 (Pain sub-scale) and 0.86 - </w:t>
            </w:r>
            <w:r w:rsidR="00885FDE">
              <w:rPr>
                <w:rFonts w:cs="PqvltsAdvPTimes"/>
              </w:rPr>
              <w:t>0.94</w:t>
            </w:r>
            <w:r w:rsidR="00B86A0A">
              <w:rPr>
                <w:rFonts w:cs="PqvltsAdvPTimes"/>
              </w:rPr>
              <w:t xml:space="preserve"> (</w:t>
            </w:r>
            <w:r w:rsidR="00885FDE">
              <w:rPr>
                <w:rFonts w:cs="PqvltsAdvPTimes"/>
              </w:rPr>
              <w:t xml:space="preserve">Activity of </w:t>
            </w:r>
            <w:r w:rsidR="00B86A0A">
              <w:rPr>
                <w:rFonts w:cs="PqvltsAdvPTimes"/>
              </w:rPr>
              <w:t>Daily Living sub-scale).</w:t>
            </w:r>
          </w:p>
          <w:p w14:paraId="10A3D802" w14:textId="77777777" w:rsidR="00212794" w:rsidRDefault="00212794" w:rsidP="00580FC5">
            <w:pPr>
              <w:autoSpaceDE w:val="0"/>
              <w:autoSpaceDN w:val="0"/>
              <w:adjustRightInd w:val="0"/>
              <w:rPr>
                <w:rFonts w:cstheme="minorHAnsi"/>
                <w:bCs/>
              </w:rPr>
            </w:pPr>
          </w:p>
          <w:p w14:paraId="6A1B6857" w14:textId="5D3A50A3" w:rsidR="00580FC5" w:rsidRPr="00A82027" w:rsidRDefault="00580FC5" w:rsidP="00580FC5">
            <w:pPr>
              <w:autoSpaceDE w:val="0"/>
              <w:autoSpaceDN w:val="0"/>
              <w:adjustRightInd w:val="0"/>
              <w:rPr>
                <w:rFonts w:cstheme="minorHAnsi"/>
                <w:b/>
                <w:bCs/>
              </w:rPr>
            </w:pPr>
            <w:r w:rsidRPr="00A82027">
              <w:rPr>
                <w:rFonts w:cstheme="minorHAnsi"/>
                <w:b/>
                <w:bCs/>
              </w:rPr>
              <w:t>KOOS, JR Reliability:</w:t>
            </w:r>
          </w:p>
          <w:p w14:paraId="27C0A11E" w14:textId="75729A7E" w:rsidR="00336AEB" w:rsidRDefault="00336AEB" w:rsidP="00336AEB">
            <w:pPr>
              <w:autoSpaceDE w:val="0"/>
              <w:autoSpaceDN w:val="0"/>
              <w:adjustRightInd w:val="0"/>
              <w:rPr>
                <w:rFonts w:cs="PqvltsAdvPTimes"/>
              </w:rPr>
            </w:pPr>
            <w:r w:rsidRPr="00C77647">
              <w:rPr>
                <w:rFonts w:cs="PqvltsAdvPTimes"/>
                <w:b/>
                <w:color w:val="000000"/>
              </w:rPr>
              <w:t>Internal consistency:</w:t>
            </w:r>
            <w:r w:rsidRPr="00C77647">
              <w:rPr>
                <w:rFonts w:cs="PqvltsAdvPTimes"/>
                <w:color w:val="000000"/>
              </w:rPr>
              <w:t xml:space="preserve"> The developers of the </w:t>
            </w:r>
            <w:r>
              <w:rPr>
                <w:rFonts w:cs="PqvltsAdvPTimes"/>
                <w:color w:val="000000"/>
              </w:rPr>
              <w:t>K</w:t>
            </w:r>
            <w:r w:rsidRPr="00C77647">
              <w:rPr>
                <w:bCs/>
              </w:rPr>
              <w:t xml:space="preserve">OOS, JR </w:t>
            </w:r>
            <w:r w:rsidRPr="00C77647">
              <w:rPr>
                <w:rFonts w:cs="PqvltsAdvPTimes"/>
                <w:color w:val="000000"/>
              </w:rPr>
              <w:t>(Lyman et al, 2016</w:t>
            </w:r>
            <w:r>
              <w:rPr>
                <w:rFonts w:cs="PqvltsAdvPTimes"/>
                <w:color w:val="000000"/>
              </w:rPr>
              <w:t>b</w:t>
            </w:r>
            <w:r w:rsidRPr="00C77647">
              <w:rPr>
                <w:rFonts w:cs="PqvltsAdvPTimes"/>
                <w:color w:val="000000"/>
              </w:rPr>
              <w:t>)</w:t>
            </w:r>
            <w:r>
              <w:rPr>
                <w:rFonts w:cs="PqvltsAdvPTimes"/>
                <w:color w:val="000000"/>
              </w:rPr>
              <w:t xml:space="preserve"> </w:t>
            </w:r>
            <w:r w:rsidRPr="00C77647">
              <w:rPr>
                <w:rFonts w:cs="PqvltsAdvPTimes"/>
                <w:color w:val="000000"/>
              </w:rPr>
              <w:t>assessed internal consistency reliability of usi</w:t>
            </w:r>
            <w:r w:rsidR="00645877">
              <w:rPr>
                <w:rFonts w:cs="PqvltsAdvPTimes"/>
                <w:color w:val="000000"/>
              </w:rPr>
              <w:t>ng the PSI</w:t>
            </w:r>
            <w:r w:rsidRPr="00C77647">
              <w:rPr>
                <w:rFonts w:cs="PqvltsAdvPTimes"/>
                <w:color w:val="000000"/>
              </w:rPr>
              <w:t xml:space="preserve">. </w:t>
            </w:r>
            <w:r>
              <w:rPr>
                <w:rFonts w:cs="PqvltsAdvPTimes"/>
                <w:color w:val="000000"/>
              </w:rPr>
              <w:t>Internal consistency of t</w:t>
            </w:r>
            <w:r w:rsidRPr="00E87599">
              <w:rPr>
                <w:rFonts w:cs="PqvltsAdvPTimes"/>
              </w:rPr>
              <w:t xml:space="preserve">he </w:t>
            </w:r>
            <w:r>
              <w:rPr>
                <w:rFonts w:cs="PqvltsAdvPTimes"/>
              </w:rPr>
              <w:t>K</w:t>
            </w:r>
            <w:r w:rsidRPr="00E87599">
              <w:rPr>
                <w:rFonts w:cs="PqvltsAdvPTimes"/>
              </w:rPr>
              <w:t xml:space="preserve">OOS, JR </w:t>
            </w:r>
            <w:r>
              <w:rPr>
                <w:rFonts w:cs="PqvltsAdvPTimes"/>
              </w:rPr>
              <w:t>on the PSI were 0.84 in the H</w:t>
            </w:r>
            <w:r w:rsidR="00645877">
              <w:rPr>
                <w:rFonts w:cs="PqvltsAdvPTimes"/>
              </w:rPr>
              <w:t>S</w:t>
            </w:r>
            <w:r w:rsidR="004238E0">
              <w:rPr>
                <w:rFonts w:cs="PqvltsAdvPTimes"/>
              </w:rPr>
              <w:t>S</w:t>
            </w:r>
            <w:r>
              <w:rPr>
                <w:rFonts w:cs="PqvltsAdvPTimes"/>
              </w:rPr>
              <w:t xml:space="preserve"> cohort</w:t>
            </w:r>
            <w:r w:rsidRPr="00E87599">
              <w:rPr>
                <w:rFonts w:cs="PqvltsAdvPTimes"/>
              </w:rPr>
              <w:t xml:space="preserve"> and </w:t>
            </w:r>
            <w:r>
              <w:rPr>
                <w:rFonts w:cs="PqvltsAdvPTimes"/>
              </w:rPr>
              <w:t xml:space="preserve">0.85 in </w:t>
            </w:r>
            <w:r w:rsidRPr="00E87599">
              <w:rPr>
                <w:rFonts w:cs="PqvltsAdvPTimes"/>
              </w:rPr>
              <w:t xml:space="preserve">the Function and Outcomes Research for Comparative Effectiveness in Total Joint Replacement (FORCE-TJR) </w:t>
            </w:r>
            <w:r>
              <w:rPr>
                <w:rFonts w:cs="PqvltsAdvPTimes"/>
              </w:rPr>
              <w:t>cohort</w:t>
            </w:r>
            <w:r w:rsidRPr="00E87599">
              <w:rPr>
                <w:rFonts w:cs="PqvltsAdvPTimes"/>
              </w:rPr>
              <w:t>.</w:t>
            </w:r>
            <w:r>
              <w:rPr>
                <w:rFonts w:cs="PqvltsAdvPTimes"/>
              </w:rPr>
              <w:t xml:space="preserve"> Results of a principal component analysis conducted on the standardized residuals indicated that the </w:t>
            </w:r>
            <w:r w:rsidR="009232F6">
              <w:rPr>
                <w:rFonts w:cs="PqvltsAdvPTimes"/>
              </w:rPr>
              <w:t>seven</w:t>
            </w:r>
            <w:r>
              <w:rPr>
                <w:rFonts w:cs="PqvltsAdvPTimes"/>
              </w:rPr>
              <w:t xml:space="preserve"> </w:t>
            </w:r>
            <w:r w:rsidR="009232F6">
              <w:rPr>
                <w:rFonts w:cs="PqvltsAdvPTimes"/>
              </w:rPr>
              <w:t>K</w:t>
            </w:r>
            <w:r>
              <w:rPr>
                <w:rFonts w:cs="PqvltsAdvPTimes"/>
              </w:rPr>
              <w:t>OOS, JR items existed in a single dimension (Lyman et al, 2016b).</w:t>
            </w:r>
          </w:p>
          <w:p w14:paraId="0467FD01" w14:textId="77777777" w:rsidR="009A6F7E" w:rsidRPr="00C77647" w:rsidRDefault="009A6F7E" w:rsidP="00336AEB">
            <w:pPr>
              <w:autoSpaceDE w:val="0"/>
              <w:autoSpaceDN w:val="0"/>
              <w:adjustRightInd w:val="0"/>
              <w:rPr>
                <w:rFonts w:cs="PqvltsAdvPTimes"/>
                <w:color w:val="000000"/>
              </w:rPr>
            </w:pPr>
          </w:p>
          <w:p w14:paraId="00998974" w14:textId="4717DB56" w:rsidR="00336AEB" w:rsidRPr="00E87599" w:rsidRDefault="00336AEB" w:rsidP="00336AEB">
            <w:pPr>
              <w:autoSpaceDE w:val="0"/>
              <w:autoSpaceDN w:val="0"/>
              <w:adjustRightInd w:val="0"/>
              <w:rPr>
                <w:rFonts w:cs="PqvltsAdvPTimes"/>
              </w:rPr>
            </w:pPr>
            <w:r w:rsidRPr="00E87599">
              <w:rPr>
                <w:rFonts w:cs="PqvltsAdvPTimes"/>
                <w:b/>
              </w:rPr>
              <w:t xml:space="preserve">Test-retest reliability: </w:t>
            </w:r>
            <w:r w:rsidRPr="009C3E46">
              <w:rPr>
                <w:rFonts w:cs="PqvltsAdvPTimes"/>
              </w:rPr>
              <w:t xml:space="preserve">Test-retest reliability </w:t>
            </w:r>
            <w:r>
              <w:rPr>
                <w:rFonts w:cs="PqvltsAdvPTimes"/>
              </w:rPr>
              <w:t xml:space="preserve">was not tested by developers of the KOOS, JR as it had already been tested in the </w:t>
            </w:r>
            <w:r>
              <w:rPr>
                <w:rFonts w:cstheme="minorHAnsi"/>
                <w:bCs/>
              </w:rPr>
              <w:t>Knee injury and Osteoarthritis Outcome Score</w:t>
            </w:r>
            <w:r>
              <w:rPr>
                <w:bCs/>
              </w:rPr>
              <w:t xml:space="preserve"> (KOOS) (Roos et al, 1998). </w:t>
            </w:r>
            <w:r w:rsidRPr="00336AEB">
              <w:rPr>
                <w:rFonts w:cs="PqvltsAdvPTimes"/>
              </w:rPr>
              <w:t>Intra-class correlation coefficients</w:t>
            </w:r>
            <w:r w:rsidR="00042DF6">
              <w:rPr>
                <w:rFonts w:cs="PqvltsAdvPTimes"/>
              </w:rPr>
              <w:t xml:space="preserve"> (ICCs)</w:t>
            </w:r>
            <w:r w:rsidRPr="00336AEB">
              <w:rPr>
                <w:rFonts w:cs="PqvltsAdvPTimes"/>
              </w:rPr>
              <w:t xml:space="preserve"> were used to determ</w:t>
            </w:r>
            <w:r w:rsidR="00B66E1C">
              <w:rPr>
                <w:rFonts w:cs="PqvltsAdvPTimes"/>
              </w:rPr>
              <w:t>ine test-retest reproducibility</w:t>
            </w:r>
            <w:r w:rsidRPr="00336AEB">
              <w:rPr>
                <w:rFonts w:cs="PqvltsAdvPTimes"/>
              </w:rPr>
              <w:t xml:space="preserve"> and </w:t>
            </w:r>
            <w:r>
              <w:rPr>
                <w:rFonts w:cs="PqvltsAdvPTimes"/>
              </w:rPr>
              <w:t>ranged from 0.75 to 0.93</w:t>
            </w:r>
            <w:r w:rsidRPr="00336AEB">
              <w:rPr>
                <w:rFonts w:cs="PqvltsAdvPTimes"/>
              </w:rPr>
              <w:t>. Speci</w:t>
            </w:r>
            <w:r w:rsidR="009232F6">
              <w:rPr>
                <w:rFonts w:cs="PqvltsAdvPTimes"/>
              </w:rPr>
              <w:t xml:space="preserve">fically, the Pain, </w:t>
            </w:r>
            <w:r w:rsidRPr="00336AEB">
              <w:rPr>
                <w:rFonts w:cs="PqvltsAdvPTimes"/>
              </w:rPr>
              <w:t>Activity of Daily</w:t>
            </w:r>
            <w:r>
              <w:rPr>
                <w:rFonts w:cs="PqvltsAdvPTimes"/>
              </w:rPr>
              <w:t xml:space="preserve"> Living</w:t>
            </w:r>
            <w:r w:rsidR="009232F6">
              <w:rPr>
                <w:rFonts w:cs="PqvltsAdvPTimes"/>
              </w:rPr>
              <w:t xml:space="preserve"> and Symptom</w:t>
            </w:r>
            <w:r>
              <w:rPr>
                <w:rFonts w:cs="PqvltsAdvPTimes"/>
              </w:rPr>
              <w:t xml:space="preserve"> </w:t>
            </w:r>
            <w:r w:rsidR="00E30DBC">
              <w:rPr>
                <w:rFonts w:cs="PqvltsAdvPTimes"/>
              </w:rPr>
              <w:t>domains</w:t>
            </w:r>
            <w:r>
              <w:rPr>
                <w:rFonts w:cs="PqvltsAdvPTimes"/>
              </w:rPr>
              <w:t>, from which K</w:t>
            </w:r>
            <w:r w:rsidRPr="00336AEB">
              <w:rPr>
                <w:rFonts w:cs="PqvltsAdvPTimes"/>
              </w:rPr>
              <w:t xml:space="preserve">OOS, JR </w:t>
            </w:r>
            <w:r w:rsidR="00042DF6">
              <w:rPr>
                <w:rFonts w:cs="PqvltsAdvPTimes"/>
              </w:rPr>
              <w:t>pain,</w:t>
            </w:r>
            <w:r w:rsidRPr="00336AEB">
              <w:rPr>
                <w:rFonts w:cs="PqvltsAdvPTimes"/>
              </w:rPr>
              <w:t xml:space="preserve"> functioning</w:t>
            </w:r>
            <w:r w:rsidR="00042DF6">
              <w:rPr>
                <w:rFonts w:cs="PqvltsAdvPTimes"/>
              </w:rPr>
              <w:t xml:space="preserve"> and stiffness</w:t>
            </w:r>
            <w:r w:rsidRPr="00336AEB">
              <w:rPr>
                <w:rFonts w:cs="PqvltsAdvPTimes"/>
              </w:rPr>
              <w:t xml:space="preserve"> questions are drawn, had </w:t>
            </w:r>
            <w:r w:rsidR="00042DF6">
              <w:rPr>
                <w:rFonts w:cs="PqvltsAdvPTimes"/>
              </w:rPr>
              <w:t>ICCs</w:t>
            </w:r>
            <w:r w:rsidRPr="00336AEB">
              <w:rPr>
                <w:rFonts w:cs="PqvltsAdvPTimes"/>
              </w:rPr>
              <w:t xml:space="preserve"> of </w:t>
            </w:r>
            <w:r>
              <w:rPr>
                <w:rFonts w:cs="PqvltsAdvPTimes"/>
              </w:rPr>
              <w:t>0.85</w:t>
            </w:r>
            <w:r w:rsidRPr="00336AEB">
              <w:rPr>
                <w:rFonts w:cs="PqvltsAdvPTimes"/>
              </w:rPr>
              <w:t xml:space="preserve"> (</w:t>
            </w:r>
            <w:r w:rsidR="009232F6">
              <w:rPr>
                <w:rFonts w:cs="PqvltsAdvPTimes"/>
              </w:rPr>
              <w:t>Pain sub-scale),</w:t>
            </w:r>
            <w:r w:rsidRPr="00336AEB">
              <w:rPr>
                <w:rFonts w:cs="PqvltsAdvPTimes"/>
              </w:rPr>
              <w:t xml:space="preserve"> </w:t>
            </w:r>
            <w:r>
              <w:rPr>
                <w:rFonts w:cs="PqvltsAdvPTimes"/>
              </w:rPr>
              <w:t>0.75</w:t>
            </w:r>
            <w:r w:rsidRPr="00336AEB">
              <w:rPr>
                <w:rFonts w:cs="PqvltsAdvPTimes"/>
              </w:rPr>
              <w:t xml:space="preserve"> (Activity of Daily Living sub-scale)</w:t>
            </w:r>
            <w:r w:rsidR="009232F6">
              <w:rPr>
                <w:rFonts w:cs="PqvltsAdvPTimes"/>
              </w:rPr>
              <w:t>, and 0.93 (Symptoms)</w:t>
            </w:r>
            <w:r w:rsidRPr="00336AEB">
              <w:rPr>
                <w:rFonts w:cs="PqvltsAdvPTimes"/>
              </w:rPr>
              <w:t>.</w:t>
            </w:r>
          </w:p>
          <w:p w14:paraId="37A66B5E" w14:textId="54DB10F2" w:rsidR="005A2BD3" w:rsidRDefault="005A2BD3" w:rsidP="00062A58">
            <w:pPr>
              <w:autoSpaceDE w:val="0"/>
              <w:autoSpaceDN w:val="0"/>
              <w:adjustRightInd w:val="0"/>
              <w:rPr>
                <w:rFonts w:cstheme="minorHAnsi"/>
                <w:bCs/>
                <w:u w:val="single"/>
              </w:rPr>
            </w:pPr>
          </w:p>
          <w:p w14:paraId="357C83A1" w14:textId="5E87B730" w:rsidR="000B3814" w:rsidRPr="003F1408" w:rsidRDefault="000B3814" w:rsidP="00062A58">
            <w:pPr>
              <w:autoSpaceDE w:val="0"/>
              <w:autoSpaceDN w:val="0"/>
              <w:adjustRightInd w:val="0"/>
              <w:rPr>
                <w:rFonts w:cstheme="minorHAnsi"/>
                <w:b/>
                <w:bCs/>
                <w:u w:val="single"/>
              </w:rPr>
            </w:pPr>
            <w:r w:rsidRPr="003F1408">
              <w:rPr>
                <w:rFonts w:cstheme="minorHAnsi"/>
                <w:b/>
                <w:bCs/>
                <w:u w:val="single"/>
              </w:rPr>
              <w:t>Measure Score Reliability Results</w:t>
            </w:r>
          </w:p>
          <w:p w14:paraId="5C4F5AAA" w14:textId="57D82A78" w:rsidR="000B3814" w:rsidRDefault="000B3814" w:rsidP="00062A58">
            <w:pPr>
              <w:autoSpaceDE w:val="0"/>
              <w:autoSpaceDN w:val="0"/>
              <w:adjustRightInd w:val="0"/>
              <w:rPr>
                <w:rFonts w:cstheme="minorHAnsi"/>
                <w:bCs/>
              </w:rPr>
            </w:pPr>
            <w:r>
              <w:rPr>
                <w:rFonts w:cstheme="minorHAnsi"/>
                <w:bCs/>
              </w:rPr>
              <w:lastRenderedPageBreak/>
              <w:t xml:space="preserve">The signal-to-noise ratio </w:t>
            </w:r>
            <w:r w:rsidR="008A7217">
              <w:rPr>
                <w:rFonts w:cstheme="minorHAnsi"/>
                <w:bCs/>
              </w:rPr>
              <w:t xml:space="preserve">(see </w:t>
            </w:r>
            <w:r w:rsidR="008A7217" w:rsidRPr="003F1408">
              <w:rPr>
                <w:rFonts w:cstheme="minorHAnsi"/>
                <w:b/>
                <w:bCs/>
              </w:rPr>
              <w:t>Table 3</w:t>
            </w:r>
            <w:r w:rsidR="003F1408">
              <w:rPr>
                <w:rFonts w:cstheme="minorHAnsi"/>
                <w:bCs/>
              </w:rPr>
              <w:t>, below</w:t>
            </w:r>
            <w:r w:rsidR="008A7217">
              <w:rPr>
                <w:rFonts w:cstheme="minorHAnsi"/>
                <w:bCs/>
              </w:rPr>
              <w:t xml:space="preserve">) </w:t>
            </w:r>
            <w:r>
              <w:rPr>
                <w:rFonts w:cstheme="minorHAnsi"/>
                <w:bCs/>
              </w:rPr>
              <w:t xml:space="preserve">yielded a </w:t>
            </w:r>
            <w:r w:rsidR="00291531">
              <w:rPr>
                <w:rFonts w:cstheme="minorHAnsi"/>
                <w:bCs/>
              </w:rPr>
              <w:t>median reliability score of 0.958</w:t>
            </w:r>
            <w:r w:rsidR="008A7217">
              <w:rPr>
                <w:rFonts w:cstheme="minorHAnsi"/>
                <w:bCs/>
              </w:rPr>
              <w:t>9</w:t>
            </w:r>
            <w:r w:rsidR="00291531">
              <w:rPr>
                <w:rFonts w:cstheme="minorHAnsi"/>
                <w:bCs/>
              </w:rPr>
              <w:t xml:space="preserve"> (range: 0.89</w:t>
            </w:r>
            <w:r w:rsidR="008A7217">
              <w:rPr>
                <w:rFonts w:cstheme="minorHAnsi"/>
                <w:bCs/>
              </w:rPr>
              <w:t>56</w:t>
            </w:r>
            <w:r w:rsidR="00291531">
              <w:rPr>
                <w:rFonts w:cstheme="minorHAnsi"/>
                <w:bCs/>
              </w:rPr>
              <w:t xml:space="preserve"> – 0.991</w:t>
            </w:r>
            <w:r w:rsidR="008A7217">
              <w:rPr>
                <w:rFonts w:cstheme="minorHAnsi"/>
                <w:bCs/>
              </w:rPr>
              <w:t>6</w:t>
            </w:r>
            <w:r w:rsidR="00291531">
              <w:rPr>
                <w:rFonts w:cstheme="minorHAnsi"/>
                <w:bCs/>
              </w:rPr>
              <w:t>). Interquartile range was 0.0370</w:t>
            </w:r>
            <w:r w:rsidR="00613EF1">
              <w:rPr>
                <w:rFonts w:cstheme="minorHAnsi"/>
                <w:bCs/>
              </w:rPr>
              <w:t>.</w:t>
            </w:r>
          </w:p>
          <w:p w14:paraId="6B561D6C" w14:textId="77777777" w:rsidR="00885FDE" w:rsidRDefault="00885FDE" w:rsidP="00062A58">
            <w:pPr>
              <w:autoSpaceDE w:val="0"/>
              <w:autoSpaceDN w:val="0"/>
              <w:adjustRightInd w:val="0"/>
              <w:rPr>
                <w:rFonts w:cstheme="minorHAnsi"/>
                <w:bCs/>
              </w:rPr>
            </w:pPr>
          </w:p>
          <w:p w14:paraId="3EB1A794" w14:textId="4076B53A" w:rsidR="00885FDE" w:rsidRPr="00B66E1C" w:rsidRDefault="00885FDE" w:rsidP="00062A58">
            <w:pPr>
              <w:autoSpaceDE w:val="0"/>
              <w:autoSpaceDN w:val="0"/>
              <w:adjustRightInd w:val="0"/>
              <w:rPr>
                <w:rFonts w:cstheme="minorHAnsi"/>
                <w:bCs/>
                <w:u w:val="single"/>
              </w:rPr>
            </w:pPr>
            <w:r w:rsidRPr="00B66E1C">
              <w:rPr>
                <w:rFonts w:cstheme="minorHAnsi"/>
                <w:bCs/>
                <w:u w:val="single"/>
              </w:rPr>
              <w:t>References:</w:t>
            </w:r>
          </w:p>
          <w:p w14:paraId="61B3A720" w14:textId="77777777" w:rsidR="00885FDE" w:rsidRDefault="00885FDE" w:rsidP="00885FDE">
            <w:pPr>
              <w:spacing w:before="120" w:after="120"/>
            </w:pPr>
            <w:r>
              <w:t>de Groot IB, Reijman M, Terwee CB, Bierma-Zeinstra SM, Favejee M, Roos EM, Verhaar JA. (2007). Validation of the Dutch version of the Hip disability and Osteoarthritis Outcome Score. Osteoarthritis and Cartilage, 15:104-109.</w:t>
            </w:r>
          </w:p>
          <w:p w14:paraId="441F703C" w14:textId="77777777" w:rsidR="00885FDE" w:rsidRDefault="00885FDE" w:rsidP="00885FDE">
            <w:pPr>
              <w:spacing w:before="120" w:after="120"/>
            </w:pPr>
            <w:r>
              <w:t>Klässbo M, Larsson E, Mannevik E. (2003). Hip disability and osteoarthritis outcome score: An extension of the Western Ontario and McMaster Universities Osteoarthritis Index. Scandinavian Journal of Rheumatology, 32(1), 46-51.</w:t>
            </w:r>
          </w:p>
          <w:p w14:paraId="05218012" w14:textId="7EFAC711" w:rsidR="00885FDE" w:rsidRDefault="00885FDE" w:rsidP="00885FDE">
            <w:pPr>
              <w:pStyle w:val="EndNoteBibliography"/>
              <w:spacing w:before="120" w:after="120"/>
            </w:pPr>
            <w:r>
              <w:t>Lyman S, Lee Y</w:t>
            </w:r>
            <w:r w:rsidRPr="00E55980">
              <w:t xml:space="preserve">Y, Franklin PD, Li W, Mayman DJ, Padgett DE. </w:t>
            </w:r>
            <w:r>
              <w:t>(2016</w:t>
            </w:r>
            <w:r w:rsidR="00336AEB">
              <w:t>a</w:t>
            </w:r>
            <w:r>
              <w:t xml:space="preserve">). </w:t>
            </w:r>
            <w:r w:rsidRPr="00E55980">
              <w:t>Validatio</w:t>
            </w:r>
            <w:r>
              <w:t xml:space="preserve">n of the HOOS, JR: A Short-form </w:t>
            </w:r>
            <w:r w:rsidRPr="00E55980">
              <w:t xml:space="preserve">Hip Replacement Survey. </w:t>
            </w:r>
            <w:r w:rsidRPr="00E55980">
              <w:rPr>
                <w:i/>
              </w:rPr>
              <w:t>Clinical Orth</w:t>
            </w:r>
            <w:r>
              <w:rPr>
                <w:i/>
              </w:rPr>
              <w:t>opaedics and Related Research®</w:t>
            </w:r>
            <w:r w:rsidRPr="009C3E46">
              <w:t>,</w:t>
            </w:r>
            <w:r>
              <w:rPr>
                <w:i/>
              </w:rPr>
              <w:t xml:space="preserve"> </w:t>
            </w:r>
            <w:r w:rsidRPr="00E55980">
              <w:t>474(6):1472-1482.</w:t>
            </w:r>
          </w:p>
          <w:p w14:paraId="713AF6F2" w14:textId="75B3C518" w:rsidR="00885FDE" w:rsidRDefault="00885FDE" w:rsidP="00885FDE">
            <w:pPr>
              <w:spacing w:before="120" w:after="120"/>
            </w:pPr>
            <w:r>
              <w:t>Lyman S, Lee Y</w:t>
            </w:r>
            <w:r w:rsidRPr="00E55980">
              <w:t>Y, Franklin PD, Li W, Cross MB, Padgett DE.</w:t>
            </w:r>
            <w:r>
              <w:t xml:space="preserve"> (2016</w:t>
            </w:r>
            <w:r w:rsidR="00336AEB">
              <w:t>b</w:t>
            </w:r>
            <w:r>
              <w:t>).</w:t>
            </w:r>
            <w:r w:rsidRPr="00E55980">
              <w:t xml:space="preserve"> Validation of the KOOS, JR: A Short-form Knee Arthroplasty Outcomes Survey. </w:t>
            </w:r>
            <w:r w:rsidRPr="00E55980">
              <w:rPr>
                <w:i/>
              </w:rPr>
              <w:t>Clinical Orth</w:t>
            </w:r>
            <w:r>
              <w:rPr>
                <w:i/>
              </w:rPr>
              <w:t>opaedics and Related Research®</w:t>
            </w:r>
            <w:r w:rsidRPr="009C3E46">
              <w:t>,</w:t>
            </w:r>
            <w:r>
              <w:t xml:space="preserve"> </w:t>
            </w:r>
            <w:r w:rsidRPr="00E55980">
              <w:t>474(6):1461-1471.</w:t>
            </w:r>
          </w:p>
          <w:p w14:paraId="7E209BE5" w14:textId="72C05C0A" w:rsidR="00885FDE" w:rsidRDefault="00885FDE" w:rsidP="00885FDE">
            <w:pPr>
              <w:autoSpaceDE w:val="0"/>
              <w:autoSpaceDN w:val="0"/>
              <w:adjustRightInd w:val="0"/>
              <w:spacing w:before="120" w:after="120"/>
            </w:pPr>
            <w:r w:rsidRPr="00931865">
              <w:t xml:space="preserve">Nilsdotter A, Bremander A. (2011). Measures of </w:t>
            </w:r>
            <w:r>
              <w:t>hips function and s</w:t>
            </w:r>
            <w:r w:rsidRPr="00931865">
              <w:t xml:space="preserve">ymptoms: Harris Hip Score (HHS), Hip Disability and Osteoarthritis Outcome Score (HOOS), </w:t>
            </w:r>
            <w:r w:rsidR="00574BE6" w:rsidRPr="00931865">
              <w:t>Oxford</w:t>
            </w:r>
            <w:r w:rsidRPr="00931865">
              <w:t xml:space="preserve"> Hip Score (OHS), Lequesne Index of Severity of Osteoarthritis of the Hip (LISOH), and American Academy of Orthopedic Surgeons (AAOS) Hip and Knee Questionnaire. Arthritis Care &amp; Research, 63(S11): S200-S207</w:t>
            </w:r>
            <w:r>
              <w:t>.</w:t>
            </w:r>
          </w:p>
          <w:p w14:paraId="4409954E" w14:textId="77777777" w:rsidR="00885FDE" w:rsidRDefault="00885FDE" w:rsidP="00885FDE">
            <w:pPr>
              <w:autoSpaceDE w:val="0"/>
              <w:autoSpaceDN w:val="0"/>
              <w:adjustRightInd w:val="0"/>
              <w:spacing w:before="120" w:after="120"/>
            </w:pPr>
            <w:r>
              <w:t>Ornetti P, Parratte S, Gossec L, Tavernier C, Argenson JN, Roos EM, Guillemin F, Maillefert JF. (2010). Cross-cultural adaptation and validation of the French version of the Hip disability and Osteoarthritis Outcome Score (HOOS) in hip osteoarthritis patients. Osteoarthritis and Cartilage, 18:522-529.</w:t>
            </w:r>
          </w:p>
          <w:p w14:paraId="7501F17C" w14:textId="5D32E44B" w:rsidR="00885FDE" w:rsidRDefault="00336AEB" w:rsidP="00062A58">
            <w:pPr>
              <w:autoSpaceDE w:val="0"/>
              <w:autoSpaceDN w:val="0"/>
              <w:adjustRightInd w:val="0"/>
              <w:rPr>
                <w:rFonts w:cstheme="minorHAnsi"/>
                <w:bCs/>
              </w:rPr>
            </w:pPr>
            <w:r>
              <w:rPr>
                <w:rFonts w:cstheme="minorHAnsi"/>
                <w:bCs/>
              </w:rPr>
              <w:t>Roos EM, Roos HP, Lohmander LS, Ekdahl C, Beynnon BD. (1998). Knee Injury and Osteoarthritis Outcome Score (KOOS)—development of a self-administered outcome measure. J Orthop Sports Phys Ther, 8(2):88-96.</w:t>
            </w:r>
          </w:p>
        </w:tc>
      </w:tr>
    </w:tbl>
    <w:p w14:paraId="6FDD84E1" w14:textId="77777777" w:rsidR="00291531" w:rsidRDefault="00291531" w:rsidP="008C54A9">
      <w:pPr>
        <w:autoSpaceDE w:val="0"/>
        <w:autoSpaceDN w:val="0"/>
        <w:adjustRightInd w:val="0"/>
        <w:spacing w:after="0" w:line="240" w:lineRule="auto"/>
        <w:rPr>
          <w:rFonts w:cstheme="minorHAnsi"/>
          <w:bCs/>
        </w:rPr>
      </w:pPr>
    </w:p>
    <w:p w14:paraId="4A8E9140" w14:textId="2010C1C4" w:rsidR="00291531" w:rsidRDefault="006234FE" w:rsidP="00291531">
      <w:pPr>
        <w:rPr>
          <w:b/>
          <w:u w:val="single"/>
        </w:rPr>
      </w:pPr>
      <w:r>
        <w:rPr>
          <w:b/>
        </w:rPr>
        <w:t>Table 3</w:t>
      </w:r>
      <w:r w:rsidR="00291531" w:rsidRPr="00704360">
        <w:rPr>
          <w:b/>
        </w:rPr>
        <w:t>.</w:t>
      </w:r>
      <w:r w:rsidR="00291531">
        <w:rPr>
          <w:b/>
        </w:rPr>
        <w:t xml:space="preserve"> Signal to Noise Reliability, Hospitals with Volume </w:t>
      </w:r>
      <w:r w:rsidR="00291531" w:rsidRPr="00291531">
        <w:rPr>
          <w:b/>
          <w:u w:val="single"/>
        </w:rPr>
        <w:t>&gt;</w:t>
      </w:r>
      <w:r w:rsidR="00291531">
        <w:rPr>
          <w:b/>
        </w:rPr>
        <w:t xml:space="preserve">25 </w:t>
      </w:r>
      <w:r w:rsidR="00DC29DE">
        <w:rPr>
          <w:b/>
        </w:rPr>
        <w:t>THA/TKA P</w:t>
      </w:r>
      <w:r w:rsidR="00ED1277">
        <w:rPr>
          <w:b/>
        </w:rPr>
        <w:t>atients with PRO Data</w:t>
      </w:r>
    </w:p>
    <w:tbl>
      <w:tblPr>
        <w:tblStyle w:val="TableGrid"/>
        <w:tblW w:w="9360" w:type="dxa"/>
        <w:tblLayout w:type="fixed"/>
        <w:tblLook w:val="04A0" w:firstRow="1" w:lastRow="0" w:firstColumn="1" w:lastColumn="0" w:noHBand="0" w:noVBand="1"/>
      </w:tblPr>
      <w:tblGrid>
        <w:gridCol w:w="1746"/>
        <w:gridCol w:w="1076"/>
        <w:gridCol w:w="934"/>
        <w:gridCol w:w="934"/>
        <w:gridCol w:w="934"/>
        <w:gridCol w:w="934"/>
        <w:gridCol w:w="934"/>
        <w:gridCol w:w="934"/>
        <w:gridCol w:w="934"/>
      </w:tblGrid>
      <w:tr w:rsidR="00291531" w:rsidRPr="002D4BD1" w14:paraId="12712323" w14:textId="77777777" w:rsidTr="00135D49">
        <w:trPr>
          <w:trHeight w:val="270"/>
        </w:trPr>
        <w:tc>
          <w:tcPr>
            <w:tcW w:w="1723" w:type="dxa"/>
            <w:vMerge w:val="restart"/>
            <w:shd w:val="clear" w:color="auto" w:fill="B8CCE4" w:themeFill="accent1" w:themeFillTint="66"/>
          </w:tcPr>
          <w:p w14:paraId="59BC20BE" w14:textId="1852B1C6" w:rsidR="00291531" w:rsidRPr="00AC3E87" w:rsidRDefault="000140B8" w:rsidP="003917DE">
            <w:pPr>
              <w:rPr>
                <w:b/>
                <w:szCs w:val="24"/>
              </w:rPr>
            </w:pPr>
            <w:r>
              <w:rPr>
                <w:b/>
                <w:szCs w:val="24"/>
              </w:rPr>
              <w:t>Reliability Statistic</w:t>
            </w:r>
          </w:p>
        </w:tc>
        <w:tc>
          <w:tcPr>
            <w:tcW w:w="1062" w:type="dxa"/>
            <w:vMerge w:val="restart"/>
            <w:shd w:val="clear" w:color="auto" w:fill="B8CCE4" w:themeFill="accent1" w:themeFillTint="66"/>
          </w:tcPr>
          <w:p w14:paraId="2140FC3B" w14:textId="77777777" w:rsidR="00291531" w:rsidRPr="002D4BD1" w:rsidRDefault="00291531" w:rsidP="005A2BD3">
            <w:pPr>
              <w:jc w:val="center"/>
              <w:rPr>
                <w:b/>
                <w:szCs w:val="24"/>
              </w:rPr>
            </w:pPr>
            <w:r>
              <w:rPr>
                <w:b/>
                <w:szCs w:val="24"/>
              </w:rPr>
              <w:t># Hospitals</w:t>
            </w:r>
          </w:p>
        </w:tc>
        <w:tc>
          <w:tcPr>
            <w:tcW w:w="922" w:type="dxa"/>
            <w:vMerge w:val="restart"/>
            <w:shd w:val="clear" w:color="auto" w:fill="B8CCE4" w:themeFill="accent1" w:themeFillTint="66"/>
          </w:tcPr>
          <w:p w14:paraId="551929CA" w14:textId="77777777" w:rsidR="00291531" w:rsidRPr="002D4BD1" w:rsidRDefault="00291531" w:rsidP="005A2BD3">
            <w:pPr>
              <w:jc w:val="center"/>
              <w:rPr>
                <w:b/>
                <w:szCs w:val="24"/>
              </w:rPr>
            </w:pPr>
            <w:r>
              <w:rPr>
                <w:b/>
                <w:szCs w:val="24"/>
              </w:rPr>
              <w:t>Median</w:t>
            </w:r>
          </w:p>
        </w:tc>
        <w:tc>
          <w:tcPr>
            <w:tcW w:w="922" w:type="dxa"/>
            <w:vMerge w:val="restart"/>
            <w:shd w:val="clear" w:color="auto" w:fill="B8CCE4" w:themeFill="accent1" w:themeFillTint="66"/>
          </w:tcPr>
          <w:p w14:paraId="416519BA" w14:textId="77777777" w:rsidR="00291531" w:rsidRDefault="00291531" w:rsidP="005A2BD3">
            <w:pPr>
              <w:jc w:val="center"/>
              <w:rPr>
                <w:b/>
                <w:szCs w:val="24"/>
              </w:rPr>
            </w:pPr>
            <w:r>
              <w:rPr>
                <w:b/>
                <w:szCs w:val="24"/>
              </w:rPr>
              <w:t>Mean (SD)</w:t>
            </w:r>
          </w:p>
        </w:tc>
        <w:tc>
          <w:tcPr>
            <w:tcW w:w="922" w:type="dxa"/>
            <w:vMerge w:val="restart"/>
            <w:shd w:val="clear" w:color="auto" w:fill="B8CCE4" w:themeFill="accent1" w:themeFillTint="66"/>
          </w:tcPr>
          <w:p w14:paraId="5E98CB43" w14:textId="77777777" w:rsidR="00291531" w:rsidRPr="002D4BD1" w:rsidRDefault="00291531" w:rsidP="005A2BD3">
            <w:pPr>
              <w:jc w:val="center"/>
              <w:rPr>
                <w:b/>
                <w:szCs w:val="24"/>
              </w:rPr>
            </w:pPr>
            <w:r>
              <w:rPr>
                <w:b/>
                <w:szCs w:val="24"/>
              </w:rPr>
              <w:t>Min</w:t>
            </w:r>
          </w:p>
        </w:tc>
        <w:tc>
          <w:tcPr>
            <w:tcW w:w="922" w:type="dxa"/>
            <w:vMerge w:val="restart"/>
            <w:shd w:val="clear" w:color="auto" w:fill="B8CCE4" w:themeFill="accent1" w:themeFillTint="66"/>
          </w:tcPr>
          <w:p w14:paraId="26BAA940" w14:textId="77777777" w:rsidR="00291531" w:rsidRPr="002D4BD1" w:rsidRDefault="00291531" w:rsidP="005A2BD3">
            <w:pPr>
              <w:jc w:val="center"/>
              <w:rPr>
                <w:b/>
                <w:szCs w:val="24"/>
              </w:rPr>
            </w:pPr>
            <w:r>
              <w:rPr>
                <w:b/>
                <w:szCs w:val="24"/>
              </w:rPr>
              <w:t>Max</w:t>
            </w:r>
          </w:p>
        </w:tc>
        <w:tc>
          <w:tcPr>
            <w:tcW w:w="922" w:type="dxa"/>
            <w:gridSpan w:val="3"/>
            <w:shd w:val="clear" w:color="auto" w:fill="B8CCE4" w:themeFill="accent1" w:themeFillTint="66"/>
          </w:tcPr>
          <w:p w14:paraId="61FBC2E8" w14:textId="77777777" w:rsidR="00291531" w:rsidRPr="002D4BD1" w:rsidRDefault="00291531" w:rsidP="005A2BD3">
            <w:pPr>
              <w:jc w:val="center"/>
              <w:rPr>
                <w:b/>
                <w:szCs w:val="24"/>
              </w:rPr>
            </w:pPr>
            <w:r>
              <w:rPr>
                <w:b/>
                <w:szCs w:val="24"/>
              </w:rPr>
              <w:t>Interquartile Range</w:t>
            </w:r>
          </w:p>
        </w:tc>
      </w:tr>
      <w:tr w:rsidR="00291531" w:rsidRPr="002D4BD1" w14:paraId="4B708FD3" w14:textId="77777777" w:rsidTr="00135D49">
        <w:trPr>
          <w:trHeight w:val="270"/>
        </w:trPr>
        <w:tc>
          <w:tcPr>
            <w:tcW w:w="1723" w:type="dxa"/>
            <w:vMerge/>
            <w:shd w:val="clear" w:color="auto" w:fill="B8CCE4" w:themeFill="accent1" w:themeFillTint="66"/>
          </w:tcPr>
          <w:p w14:paraId="195DBBED" w14:textId="77777777" w:rsidR="00291531" w:rsidRPr="00AC3E87" w:rsidRDefault="00291531" w:rsidP="005A2BD3">
            <w:pPr>
              <w:jc w:val="center"/>
              <w:rPr>
                <w:b/>
                <w:szCs w:val="24"/>
              </w:rPr>
            </w:pPr>
          </w:p>
        </w:tc>
        <w:tc>
          <w:tcPr>
            <w:tcW w:w="1062" w:type="dxa"/>
            <w:vMerge/>
            <w:shd w:val="clear" w:color="auto" w:fill="B8CCE4" w:themeFill="accent1" w:themeFillTint="66"/>
          </w:tcPr>
          <w:p w14:paraId="3BFF2E24" w14:textId="77777777" w:rsidR="00291531" w:rsidRDefault="00291531" w:rsidP="005A2BD3">
            <w:pPr>
              <w:jc w:val="center"/>
              <w:rPr>
                <w:b/>
                <w:szCs w:val="24"/>
              </w:rPr>
            </w:pPr>
          </w:p>
        </w:tc>
        <w:tc>
          <w:tcPr>
            <w:tcW w:w="922" w:type="dxa"/>
            <w:vMerge/>
            <w:shd w:val="clear" w:color="auto" w:fill="B8CCE4" w:themeFill="accent1" w:themeFillTint="66"/>
          </w:tcPr>
          <w:p w14:paraId="4799FA03" w14:textId="77777777" w:rsidR="00291531" w:rsidRDefault="00291531" w:rsidP="005A2BD3">
            <w:pPr>
              <w:jc w:val="center"/>
              <w:rPr>
                <w:b/>
                <w:szCs w:val="24"/>
              </w:rPr>
            </w:pPr>
          </w:p>
        </w:tc>
        <w:tc>
          <w:tcPr>
            <w:tcW w:w="922" w:type="dxa"/>
            <w:vMerge/>
            <w:shd w:val="clear" w:color="auto" w:fill="B8CCE4" w:themeFill="accent1" w:themeFillTint="66"/>
          </w:tcPr>
          <w:p w14:paraId="7919243F" w14:textId="77777777" w:rsidR="00291531" w:rsidRDefault="00291531" w:rsidP="005A2BD3">
            <w:pPr>
              <w:jc w:val="center"/>
              <w:rPr>
                <w:b/>
                <w:szCs w:val="24"/>
              </w:rPr>
            </w:pPr>
          </w:p>
        </w:tc>
        <w:tc>
          <w:tcPr>
            <w:tcW w:w="922" w:type="dxa"/>
            <w:vMerge/>
            <w:shd w:val="clear" w:color="auto" w:fill="B8CCE4" w:themeFill="accent1" w:themeFillTint="66"/>
          </w:tcPr>
          <w:p w14:paraId="549078F3" w14:textId="77777777" w:rsidR="00291531" w:rsidRDefault="00291531" w:rsidP="005A2BD3">
            <w:pPr>
              <w:jc w:val="center"/>
              <w:rPr>
                <w:b/>
                <w:szCs w:val="24"/>
              </w:rPr>
            </w:pPr>
          </w:p>
        </w:tc>
        <w:tc>
          <w:tcPr>
            <w:tcW w:w="922" w:type="dxa"/>
            <w:vMerge/>
            <w:shd w:val="clear" w:color="auto" w:fill="B8CCE4" w:themeFill="accent1" w:themeFillTint="66"/>
          </w:tcPr>
          <w:p w14:paraId="457CEA0E" w14:textId="77777777" w:rsidR="00291531" w:rsidRDefault="00291531" w:rsidP="005A2BD3">
            <w:pPr>
              <w:jc w:val="center"/>
              <w:rPr>
                <w:b/>
                <w:szCs w:val="24"/>
              </w:rPr>
            </w:pPr>
          </w:p>
        </w:tc>
        <w:tc>
          <w:tcPr>
            <w:tcW w:w="922" w:type="dxa"/>
            <w:shd w:val="clear" w:color="auto" w:fill="B8CCE4" w:themeFill="accent1" w:themeFillTint="66"/>
          </w:tcPr>
          <w:p w14:paraId="642BE484" w14:textId="77777777" w:rsidR="00291531" w:rsidRPr="002D4BD1" w:rsidRDefault="00291531" w:rsidP="005A2BD3">
            <w:pPr>
              <w:jc w:val="center"/>
              <w:rPr>
                <w:b/>
                <w:szCs w:val="24"/>
              </w:rPr>
            </w:pPr>
            <w:r>
              <w:rPr>
                <w:b/>
                <w:szCs w:val="24"/>
              </w:rPr>
              <w:t>Q1</w:t>
            </w:r>
          </w:p>
        </w:tc>
        <w:tc>
          <w:tcPr>
            <w:tcW w:w="922" w:type="dxa"/>
            <w:shd w:val="clear" w:color="auto" w:fill="B8CCE4" w:themeFill="accent1" w:themeFillTint="66"/>
          </w:tcPr>
          <w:p w14:paraId="02EA7619" w14:textId="77777777" w:rsidR="00291531" w:rsidRPr="002D4BD1" w:rsidRDefault="00291531" w:rsidP="005A2BD3">
            <w:pPr>
              <w:jc w:val="center"/>
              <w:rPr>
                <w:b/>
                <w:szCs w:val="24"/>
              </w:rPr>
            </w:pPr>
            <w:r>
              <w:rPr>
                <w:b/>
                <w:szCs w:val="24"/>
              </w:rPr>
              <w:t>Q3</w:t>
            </w:r>
          </w:p>
        </w:tc>
        <w:tc>
          <w:tcPr>
            <w:tcW w:w="922" w:type="dxa"/>
            <w:shd w:val="clear" w:color="auto" w:fill="B8CCE4" w:themeFill="accent1" w:themeFillTint="66"/>
          </w:tcPr>
          <w:p w14:paraId="77C13DE6" w14:textId="77777777" w:rsidR="00291531" w:rsidRPr="002D4BD1" w:rsidRDefault="00291531" w:rsidP="005A2BD3">
            <w:pPr>
              <w:jc w:val="center"/>
              <w:rPr>
                <w:b/>
                <w:szCs w:val="24"/>
              </w:rPr>
            </w:pPr>
            <w:r>
              <w:rPr>
                <w:b/>
                <w:szCs w:val="24"/>
              </w:rPr>
              <w:t>Range</w:t>
            </w:r>
          </w:p>
        </w:tc>
      </w:tr>
      <w:tr w:rsidR="00291531" w14:paraId="4377A360" w14:textId="77777777" w:rsidTr="005A2BD3">
        <w:tc>
          <w:tcPr>
            <w:tcW w:w="1723" w:type="dxa"/>
          </w:tcPr>
          <w:p w14:paraId="384A7861" w14:textId="77777777" w:rsidR="00291531" w:rsidRDefault="00291531" w:rsidP="005A2BD3">
            <w:pPr>
              <w:rPr>
                <w:szCs w:val="24"/>
              </w:rPr>
            </w:pPr>
            <w:r>
              <w:rPr>
                <w:szCs w:val="24"/>
              </w:rPr>
              <w:t>Signal-to-noise</w:t>
            </w:r>
          </w:p>
        </w:tc>
        <w:tc>
          <w:tcPr>
            <w:tcW w:w="1062" w:type="dxa"/>
            <w:shd w:val="clear" w:color="auto" w:fill="auto"/>
          </w:tcPr>
          <w:p w14:paraId="1BF8FC34" w14:textId="77777777" w:rsidR="00291531" w:rsidRPr="00292B62" w:rsidRDefault="00291531" w:rsidP="005A2BD3">
            <w:pPr>
              <w:jc w:val="center"/>
              <w:rPr>
                <w:szCs w:val="24"/>
              </w:rPr>
            </w:pPr>
            <w:r>
              <w:rPr>
                <w:szCs w:val="24"/>
              </w:rPr>
              <w:t>123</w:t>
            </w:r>
          </w:p>
        </w:tc>
        <w:tc>
          <w:tcPr>
            <w:tcW w:w="922" w:type="dxa"/>
            <w:shd w:val="clear" w:color="auto" w:fill="auto"/>
          </w:tcPr>
          <w:p w14:paraId="39F01E00" w14:textId="276A8444" w:rsidR="00291531" w:rsidRPr="00292B62" w:rsidRDefault="00291531" w:rsidP="005A2BD3">
            <w:pPr>
              <w:jc w:val="center"/>
              <w:rPr>
                <w:szCs w:val="24"/>
              </w:rPr>
            </w:pPr>
            <w:r>
              <w:rPr>
                <w:szCs w:val="24"/>
              </w:rPr>
              <w:t>0.958</w:t>
            </w:r>
            <w:r w:rsidR="008A7217">
              <w:rPr>
                <w:szCs w:val="24"/>
              </w:rPr>
              <w:t>9</w:t>
            </w:r>
          </w:p>
        </w:tc>
        <w:tc>
          <w:tcPr>
            <w:tcW w:w="922" w:type="dxa"/>
          </w:tcPr>
          <w:p w14:paraId="4BBBA7F0" w14:textId="6FBBB00C" w:rsidR="00291531" w:rsidRDefault="00291531" w:rsidP="005A2BD3">
            <w:pPr>
              <w:jc w:val="center"/>
              <w:rPr>
                <w:szCs w:val="24"/>
              </w:rPr>
            </w:pPr>
            <w:r>
              <w:rPr>
                <w:szCs w:val="24"/>
              </w:rPr>
              <w:t>0.95</w:t>
            </w:r>
            <w:r w:rsidR="008A7217">
              <w:rPr>
                <w:szCs w:val="24"/>
              </w:rPr>
              <w:t>20</w:t>
            </w:r>
            <w:r>
              <w:rPr>
                <w:szCs w:val="24"/>
              </w:rPr>
              <w:t xml:space="preserve"> (0.26</w:t>
            </w:r>
            <w:r w:rsidR="008A7217">
              <w:rPr>
                <w:szCs w:val="24"/>
              </w:rPr>
              <w:t>3</w:t>
            </w:r>
            <w:r>
              <w:rPr>
                <w:szCs w:val="24"/>
              </w:rPr>
              <w:t>)</w:t>
            </w:r>
          </w:p>
        </w:tc>
        <w:tc>
          <w:tcPr>
            <w:tcW w:w="922" w:type="dxa"/>
          </w:tcPr>
          <w:p w14:paraId="79267607" w14:textId="0E5D9E4B" w:rsidR="00291531" w:rsidRDefault="00291531" w:rsidP="005A2BD3">
            <w:pPr>
              <w:jc w:val="center"/>
              <w:rPr>
                <w:szCs w:val="24"/>
              </w:rPr>
            </w:pPr>
            <w:r>
              <w:rPr>
                <w:szCs w:val="24"/>
              </w:rPr>
              <w:t>0.89</w:t>
            </w:r>
            <w:r w:rsidR="008A7217">
              <w:rPr>
                <w:szCs w:val="24"/>
              </w:rPr>
              <w:t>56</w:t>
            </w:r>
          </w:p>
        </w:tc>
        <w:tc>
          <w:tcPr>
            <w:tcW w:w="922" w:type="dxa"/>
          </w:tcPr>
          <w:p w14:paraId="538AF48F" w14:textId="388E664F" w:rsidR="00291531" w:rsidRDefault="00291531" w:rsidP="005A2BD3">
            <w:pPr>
              <w:jc w:val="center"/>
              <w:rPr>
                <w:szCs w:val="24"/>
              </w:rPr>
            </w:pPr>
            <w:r>
              <w:rPr>
                <w:szCs w:val="24"/>
              </w:rPr>
              <w:t>0.991</w:t>
            </w:r>
            <w:r w:rsidR="008A7217">
              <w:rPr>
                <w:szCs w:val="24"/>
              </w:rPr>
              <w:t>6</w:t>
            </w:r>
          </w:p>
        </w:tc>
        <w:tc>
          <w:tcPr>
            <w:tcW w:w="922" w:type="dxa"/>
          </w:tcPr>
          <w:p w14:paraId="14D50245" w14:textId="49F7ADFB" w:rsidR="00291531" w:rsidRDefault="00291531" w:rsidP="005A2BD3">
            <w:pPr>
              <w:jc w:val="center"/>
              <w:rPr>
                <w:szCs w:val="24"/>
              </w:rPr>
            </w:pPr>
            <w:r>
              <w:rPr>
                <w:szCs w:val="24"/>
              </w:rPr>
              <w:t>0.93</w:t>
            </w:r>
            <w:r w:rsidR="008A7217">
              <w:rPr>
                <w:szCs w:val="24"/>
              </w:rPr>
              <w:t>51</w:t>
            </w:r>
          </w:p>
        </w:tc>
        <w:tc>
          <w:tcPr>
            <w:tcW w:w="922" w:type="dxa"/>
          </w:tcPr>
          <w:p w14:paraId="4AC4CF42" w14:textId="3DDA4263" w:rsidR="00291531" w:rsidRDefault="00291531" w:rsidP="005A2BD3">
            <w:pPr>
              <w:jc w:val="center"/>
              <w:rPr>
                <w:szCs w:val="24"/>
              </w:rPr>
            </w:pPr>
            <w:r>
              <w:rPr>
                <w:szCs w:val="24"/>
              </w:rPr>
              <w:t>0.971</w:t>
            </w:r>
            <w:r w:rsidR="008A7217">
              <w:rPr>
                <w:szCs w:val="24"/>
              </w:rPr>
              <w:t>7</w:t>
            </w:r>
          </w:p>
        </w:tc>
        <w:tc>
          <w:tcPr>
            <w:tcW w:w="922" w:type="dxa"/>
          </w:tcPr>
          <w:p w14:paraId="7B4FE7AC" w14:textId="79319F63" w:rsidR="00291531" w:rsidRDefault="00291531" w:rsidP="005A2BD3">
            <w:pPr>
              <w:jc w:val="center"/>
              <w:rPr>
                <w:szCs w:val="24"/>
              </w:rPr>
            </w:pPr>
            <w:r>
              <w:rPr>
                <w:szCs w:val="24"/>
              </w:rPr>
              <w:t>0.03</w:t>
            </w:r>
            <w:r w:rsidR="008A7217">
              <w:rPr>
                <w:szCs w:val="24"/>
              </w:rPr>
              <w:t>66</w:t>
            </w:r>
          </w:p>
        </w:tc>
      </w:tr>
    </w:tbl>
    <w:p w14:paraId="0C9476F5" w14:textId="77777777" w:rsidR="00E770EA" w:rsidRDefault="00E770EA" w:rsidP="00DB3627">
      <w:pPr>
        <w:autoSpaceDE w:val="0"/>
        <w:autoSpaceDN w:val="0"/>
        <w:adjustRightInd w:val="0"/>
        <w:spacing w:after="0" w:line="240" w:lineRule="auto"/>
        <w:rPr>
          <w:rFonts w:cstheme="minorHAnsi"/>
          <w:b/>
          <w:bCs/>
        </w:rPr>
      </w:pPr>
    </w:p>
    <w:p w14:paraId="5CACF463" w14:textId="1D6A2830" w:rsidR="003942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08F21BE2" w14:textId="77777777" w:rsidTr="00062A58">
        <w:tc>
          <w:tcPr>
            <w:tcW w:w="9350" w:type="dxa"/>
          </w:tcPr>
          <w:p w14:paraId="03717844" w14:textId="56FD8423" w:rsidR="00E87782" w:rsidRPr="00833477" w:rsidRDefault="00E87782" w:rsidP="00FC3F66">
            <w:pPr>
              <w:autoSpaceDE w:val="0"/>
              <w:autoSpaceDN w:val="0"/>
              <w:adjustRightInd w:val="0"/>
              <w:rPr>
                <w:rFonts w:cstheme="minorHAnsi"/>
                <w:b/>
                <w:bCs/>
                <w:u w:val="single"/>
              </w:rPr>
            </w:pPr>
            <w:r w:rsidRPr="00833477">
              <w:rPr>
                <w:rFonts w:cstheme="minorHAnsi"/>
                <w:b/>
                <w:bCs/>
                <w:u w:val="single"/>
              </w:rPr>
              <w:t>Data Element Reliability</w:t>
            </w:r>
          </w:p>
          <w:p w14:paraId="331F68A0" w14:textId="1A86A7F3" w:rsidR="00E87782" w:rsidRDefault="000F68C3" w:rsidP="00FC3F66">
            <w:pPr>
              <w:autoSpaceDE w:val="0"/>
              <w:autoSpaceDN w:val="0"/>
              <w:adjustRightInd w:val="0"/>
              <w:rPr>
                <w:rFonts w:cstheme="minorHAnsi"/>
                <w:bCs/>
                <w:u w:val="single"/>
              </w:rPr>
            </w:pPr>
            <w:r>
              <w:rPr>
                <w:rFonts w:cstheme="minorHAnsi"/>
                <w:bCs/>
              </w:rPr>
              <w:t xml:space="preserve">The reliability results from the literature demonstrate that the HOOS, JR and the KOOS, JR PROM instruments are </w:t>
            </w:r>
            <w:r w:rsidRPr="00634CF9">
              <w:rPr>
                <w:rFonts w:cstheme="minorHAnsi"/>
                <w:noProof/>
              </w:rPr>
              <w:t>sufficiently reliable and exceed accepted norms for reliability testing.</w:t>
            </w:r>
            <w:r>
              <w:rPr>
                <w:rFonts w:cstheme="minorHAnsi"/>
                <w:noProof/>
              </w:rPr>
              <w:t xml:space="preserve"> </w:t>
            </w:r>
            <w:r w:rsidR="00833477">
              <w:rPr>
                <w:rFonts w:cstheme="minorHAnsi"/>
                <w:noProof/>
              </w:rPr>
              <w:t xml:space="preserve">The results assessing </w:t>
            </w:r>
            <w:r w:rsidR="00833477" w:rsidRPr="00C77647">
              <w:rPr>
                <w:rFonts w:cs="PqvltsAdvPTimes"/>
                <w:color w:val="000000"/>
              </w:rPr>
              <w:t xml:space="preserve">internal consistency </w:t>
            </w:r>
            <w:r w:rsidR="00833477">
              <w:rPr>
                <w:rFonts w:cs="PqvltsAdvPTimes"/>
                <w:color w:val="000000"/>
              </w:rPr>
              <w:t xml:space="preserve">indicated </w:t>
            </w:r>
            <w:r w:rsidR="00833477" w:rsidRPr="00E87599">
              <w:rPr>
                <w:rFonts w:cs="PqvltsAdvPTimes"/>
              </w:rPr>
              <w:t>PSI</w:t>
            </w:r>
            <w:r w:rsidR="00833477">
              <w:rPr>
                <w:rFonts w:cs="PqvltsAdvPTimes"/>
              </w:rPr>
              <w:t xml:space="preserve"> values of </w:t>
            </w:r>
            <w:r w:rsidR="00BF1BE9">
              <w:rPr>
                <w:rFonts w:cs="PqvltsAdvPTimes"/>
              </w:rPr>
              <w:t>0</w:t>
            </w:r>
            <w:r w:rsidR="00833477">
              <w:rPr>
                <w:rFonts w:cs="PqvltsAdvPTimes"/>
              </w:rPr>
              <w:t xml:space="preserve">.86 - </w:t>
            </w:r>
            <w:r w:rsidR="00BF1BE9">
              <w:rPr>
                <w:rFonts w:cs="PqvltsAdvPTimes"/>
              </w:rPr>
              <w:t>0</w:t>
            </w:r>
            <w:r w:rsidR="00833477">
              <w:rPr>
                <w:rFonts w:cs="PqvltsAdvPTimes"/>
              </w:rPr>
              <w:t xml:space="preserve">.87 for the HOOS, JR </w:t>
            </w:r>
            <w:r w:rsidR="00B66E1C">
              <w:rPr>
                <w:rFonts w:cs="PqvltsAdvPTimes"/>
              </w:rPr>
              <w:t xml:space="preserve">(Lyman et al, 2016a) </w:t>
            </w:r>
            <w:r w:rsidR="00833477">
              <w:rPr>
                <w:rFonts w:cs="PqvltsAdvPTimes"/>
              </w:rPr>
              <w:t xml:space="preserve">and </w:t>
            </w:r>
            <w:r w:rsidR="00BF1BE9">
              <w:rPr>
                <w:rFonts w:cs="PqvltsAdvPTimes"/>
              </w:rPr>
              <w:t>0</w:t>
            </w:r>
            <w:r w:rsidR="00833477">
              <w:rPr>
                <w:rFonts w:cs="PqvltsAdvPTimes"/>
              </w:rPr>
              <w:t>.84-</w:t>
            </w:r>
            <w:r w:rsidR="00BF1BE9">
              <w:rPr>
                <w:rFonts w:cs="PqvltsAdvPTimes"/>
              </w:rPr>
              <w:t>0</w:t>
            </w:r>
            <w:r w:rsidR="00833477">
              <w:rPr>
                <w:rFonts w:cs="PqvltsAdvPTimes"/>
              </w:rPr>
              <w:t xml:space="preserve">.85 for the KOOS, JR, </w:t>
            </w:r>
            <w:r w:rsidR="00B66E1C">
              <w:rPr>
                <w:rFonts w:cs="PqvltsAdvPTimes"/>
              </w:rPr>
              <w:t xml:space="preserve">(Lyman et al, 2016b) </w:t>
            </w:r>
            <w:r w:rsidR="00833477">
              <w:rPr>
                <w:rFonts w:cs="PqvltsAdvPTimes"/>
              </w:rPr>
              <w:t xml:space="preserve">indicating values well above 0.7, indicating the ability of the instruments to </w:t>
            </w:r>
            <w:r w:rsidR="00833477" w:rsidRPr="00C77647">
              <w:rPr>
                <w:rFonts w:cs="PqvltsAdvPTimes"/>
                <w:color w:val="000000"/>
              </w:rPr>
              <w:t xml:space="preserve">differentiate patients with varying levels of </w:t>
            </w:r>
            <w:r w:rsidR="00833477">
              <w:rPr>
                <w:rFonts w:cs="PqvltsAdvPTimes"/>
                <w:color w:val="000000"/>
              </w:rPr>
              <w:t>pain and functioning</w:t>
            </w:r>
            <w:r w:rsidR="00833477" w:rsidRPr="00C77647">
              <w:rPr>
                <w:rFonts w:cs="PqvltsAdvPTimes"/>
                <w:color w:val="000000"/>
              </w:rPr>
              <w:t xml:space="preserve">, which in turn provides evidence of good internal consistency. </w:t>
            </w:r>
            <w:r w:rsidR="00833477">
              <w:rPr>
                <w:rFonts w:cs="PqvltsAdvPTimes"/>
                <w:color w:val="000000"/>
              </w:rPr>
              <w:t>Test-</w:t>
            </w:r>
            <w:r w:rsidR="009232F6">
              <w:rPr>
                <w:rFonts w:cs="PqvltsAdvPTimes"/>
                <w:color w:val="000000"/>
              </w:rPr>
              <w:t xml:space="preserve">retest reliability results for the HOOS </w:t>
            </w:r>
            <w:r w:rsidR="00E30DBC">
              <w:rPr>
                <w:rFonts w:cs="PqvltsAdvPTimes"/>
                <w:color w:val="000000"/>
              </w:rPr>
              <w:t>domains</w:t>
            </w:r>
            <w:r w:rsidR="009232F6">
              <w:rPr>
                <w:rFonts w:cs="PqvltsAdvPTimes"/>
                <w:color w:val="000000"/>
              </w:rPr>
              <w:t xml:space="preserve"> from which HOOS, JR questions were drawn (Pain and Activity of Daily Living </w:t>
            </w:r>
            <w:r w:rsidR="00E30DBC">
              <w:rPr>
                <w:rFonts w:cs="PqvltsAdvPTimes"/>
                <w:color w:val="000000"/>
              </w:rPr>
              <w:t>domains</w:t>
            </w:r>
            <w:r w:rsidR="009232F6">
              <w:rPr>
                <w:rFonts w:cs="PqvltsAdvPTimes"/>
                <w:color w:val="000000"/>
              </w:rPr>
              <w:t>) revealed high intra-class correlation coefficients</w:t>
            </w:r>
            <w:r w:rsidR="00042DF6">
              <w:rPr>
                <w:rFonts w:cs="PqvltsAdvPTimes"/>
                <w:color w:val="000000"/>
              </w:rPr>
              <w:t xml:space="preserve"> (ICCs)</w:t>
            </w:r>
            <w:r w:rsidR="009232F6">
              <w:rPr>
                <w:rFonts w:cs="PqvltsAdvPTimes"/>
                <w:color w:val="000000"/>
              </w:rPr>
              <w:t xml:space="preserve">. Likewise, test-retest reliability for the KOOS </w:t>
            </w:r>
            <w:r w:rsidR="00E30DBC">
              <w:rPr>
                <w:rFonts w:cs="PqvltsAdvPTimes"/>
                <w:color w:val="000000"/>
              </w:rPr>
              <w:lastRenderedPageBreak/>
              <w:t>domains</w:t>
            </w:r>
            <w:r w:rsidR="009232F6">
              <w:rPr>
                <w:rFonts w:cs="PqvltsAdvPTimes"/>
                <w:color w:val="000000"/>
              </w:rPr>
              <w:t xml:space="preserve"> from which the KOOS</w:t>
            </w:r>
            <w:r w:rsidR="00042DF6">
              <w:rPr>
                <w:rFonts w:cs="PqvltsAdvPTimes"/>
                <w:color w:val="000000"/>
              </w:rPr>
              <w:t xml:space="preserve">, JR questions were drawn (ICCs of </w:t>
            </w:r>
            <w:r w:rsidR="00BF1BE9">
              <w:rPr>
                <w:rFonts w:cs="PqvltsAdvPTimes"/>
                <w:color w:val="000000"/>
              </w:rPr>
              <w:t>0</w:t>
            </w:r>
            <w:r w:rsidR="00042DF6">
              <w:rPr>
                <w:rFonts w:cs="PqvltsAdvPTimes"/>
                <w:color w:val="000000"/>
              </w:rPr>
              <w:t xml:space="preserve">.75 - </w:t>
            </w:r>
            <w:r w:rsidR="00BF1BE9">
              <w:rPr>
                <w:rFonts w:cs="PqvltsAdvPTimes"/>
                <w:color w:val="000000"/>
              </w:rPr>
              <w:t>0</w:t>
            </w:r>
            <w:r w:rsidR="00042DF6">
              <w:rPr>
                <w:rFonts w:cs="PqvltsAdvPTimes"/>
                <w:color w:val="000000"/>
              </w:rPr>
              <w:t>.93) provided evidence good reliability.</w:t>
            </w:r>
          </w:p>
          <w:p w14:paraId="7DFDFDAC" w14:textId="77777777" w:rsidR="00B66E1C" w:rsidRDefault="00B66E1C" w:rsidP="00FC3F66">
            <w:pPr>
              <w:autoSpaceDE w:val="0"/>
              <w:autoSpaceDN w:val="0"/>
              <w:adjustRightInd w:val="0"/>
              <w:rPr>
                <w:rFonts w:cstheme="minorHAnsi"/>
                <w:b/>
                <w:bCs/>
                <w:u w:val="single"/>
              </w:rPr>
            </w:pPr>
          </w:p>
          <w:p w14:paraId="41D9B076" w14:textId="420CBEBC" w:rsidR="00E87782" w:rsidRPr="00833477" w:rsidRDefault="00E87782" w:rsidP="00FC3F66">
            <w:pPr>
              <w:autoSpaceDE w:val="0"/>
              <w:autoSpaceDN w:val="0"/>
              <w:adjustRightInd w:val="0"/>
              <w:rPr>
                <w:rFonts w:cstheme="minorHAnsi"/>
                <w:b/>
                <w:bCs/>
                <w:u w:val="single"/>
              </w:rPr>
            </w:pPr>
            <w:r w:rsidRPr="00833477">
              <w:rPr>
                <w:rFonts w:cstheme="minorHAnsi"/>
                <w:b/>
                <w:bCs/>
                <w:u w:val="single"/>
              </w:rPr>
              <w:t>Measure Score Reliability</w:t>
            </w:r>
          </w:p>
          <w:p w14:paraId="5C266FB9" w14:textId="04CC8FCE" w:rsidR="00613EF1" w:rsidRDefault="00613EF1" w:rsidP="00FC3F66">
            <w:pPr>
              <w:autoSpaceDE w:val="0"/>
              <w:autoSpaceDN w:val="0"/>
              <w:adjustRightInd w:val="0"/>
              <w:rPr>
                <w:rFonts w:cstheme="minorHAnsi"/>
                <w:bCs/>
              </w:rPr>
            </w:pPr>
            <w:r>
              <w:rPr>
                <w:rFonts w:cstheme="minorHAnsi"/>
                <w:bCs/>
              </w:rPr>
              <w:t xml:space="preserve">The signal-to-noise </w:t>
            </w:r>
            <w:r w:rsidR="00D35011">
              <w:rPr>
                <w:rFonts w:cstheme="minorHAnsi"/>
                <w:bCs/>
              </w:rPr>
              <w:t>reliability</w:t>
            </w:r>
            <w:r>
              <w:rPr>
                <w:rFonts w:cstheme="minorHAnsi"/>
                <w:bCs/>
              </w:rPr>
              <w:t xml:space="preserve"> of 0.</w:t>
            </w:r>
            <w:r w:rsidR="00D35011">
              <w:rPr>
                <w:rFonts w:cstheme="minorHAnsi"/>
                <w:bCs/>
              </w:rPr>
              <w:t>96 indicates excellent reliability</w:t>
            </w:r>
            <w:r>
              <w:rPr>
                <w:rFonts w:cstheme="minorHAnsi"/>
                <w:bCs/>
              </w:rPr>
              <w:t>.</w:t>
            </w:r>
          </w:p>
          <w:p w14:paraId="766C3C7A" w14:textId="77777777" w:rsidR="00FC3F66" w:rsidRDefault="00FC3F66" w:rsidP="00FC3F66">
            <w:pPr>
              <w:autoSpaceDE w:val="0"/>
              <w:autoSpaceDN w:val="0"/>
              <w:adjustRightInd w:val="0"/>
              <w:rPr>
                <w:rFonts w:cstheme="minorHAnsi"/>
                <w:bCs/>
              </w:rPr>
            </w:pPr>
          </w:p>
          <w:p w14:paraId="4998ECCA" w14:textId="314EE72F" w:rsidR="00613EF1" w:rsidRDefault="00613EF1" w:rsidP="00FC3F66">
            <w:pPr>
              <w:autoSpaceDE w:val="0"/>
              <w:autoSpaceDN w:val="0"/>
              <w:adjustRightInd w:val="0"/>
              <w:contextualSpacing/>
              <w:rPr>
                <w:rFonts w:cstheme="minorHAnsi"/>
                <w:bCs/>
              </w:rPr>
            </w:pPr>
            <w:r>
              <w:rPr>
                <w:rFonts w:cstheme="minorHAnsi"/>
                <w:bCs/>
              </w:rPr>
              <w:t>Our interpretation of these results is based on standards established by Landis and Koch (1997):</w:t>
            </w:r>
          </w:p>
          <w:p w14:paraId="3158FECB" w14:textId="77777777" w:rsidR="00FC3F66" w:rsidRDefault="00FC3F66" w:rsidP="00FC3F66">
            <w:pPr>
              <w:autoSpaceDE w:val="0"/>
              <w:autoSpaceDN w:val="0"/>
              <w:adjustRightInd w:val="0"/>
              <w:contextualSpacing/>
              <w:rPr>
                <w:rFonts w:cstheme="minorHAnsi"/>
                <w:bCs/>
              </w:rPr>
            </w:pPr>
          </w:p>
          <w:p w14:paraId="31988588" w14:textId="7D87CBC8" w:rsidR="00613EF1" w:rsidRDefault="00613EF1" w:rsidP="00FC3F66">
            <w:pPr>
              <w:autoSpaceDE w:val="0"/>
              <w:autoSpaceDN w:val="0"/>
              <w:adjustRightInd w:val="0"/>
              <w:contextualSpacing/>
              <w:rPr>
                <w:rFonts w:cstheme="minorHAnsi"/>
                <w:bCs/>
              </w:rPr>
            </w:pPr>
            <w:r>
              <w:rPr>
                <w:rFonts w:cstheme="minorHAnsi"/>
                <w:bCs/>
              </w:rPr>
              <w:t>&lt;0 = Less than chance agreement</w:t>
            </w:r>
          </w:p>
          <w:p w14:paraId="4424EC35" w14:textId="0D15840E" w:rsidR="00613EF1" w:rsidRDefault="00613EF1" w:rsidP="00FC3F66">
            <w:pPr>
              <w:autoSpaceDE w:val="0"/>
              <w:autoSpaceDN w:val="0"/>
              <w:adjustRightInd w:val="0"/>
              <w:contextualSpacing/>
              <w:rPr>
                <w:rFonts w:cstheme="minorHAnsi"/>
                <w:bCs/>
              </w:rPr>
            </w:pPr>
            <w:r>
              <w:rPr>
                <w:rFonts w:cstheme="minorHAnsi"/>
                <w:bCs/>
              </w:rPr>
              <w:t>0 – 0.2 = Slight agreement</w:t>
            </w:r>
          </w:p>
          <w:p w14:paraId="0D77D565" w14:textId="5DA1A7E6" w:rsidR="00613EF1" w:rsidRDefault="00613EF1" w:rsidP="00FC3F66">
            <w:pPr>
              <w:autoSpaceDE w:val="0"/>
              <w:autoSpaceDN w:val="0"/>
              <w:adjustRightInd w:val="0"/>
              <w:contextualSpacing/>
              <w:rPr>
                <w:rFonts w:cstheme="minorHAnsi"/>
                <w:bCs/>
              </w:rPr>
            </w:pPr>
            <w:r>
              <w:rPr>
                <w:rFonts w:cstheme="minorHAnsi"/>
                <w:bCs/>
              </w:rPr>
              <w:t>0.21 – 0.39 = Fair agreement</w:t>
            </w:r>
          </w:p>
          <w:p w14:paraId="578FA24E" w14:textId="1DB3004B" w:rsidR="00613EF1" w:rsidRDefault="00613EF1" w:rsidP="00FC3F66">
            <w:pPr>
              <w:autoSpaceDE w:val="0"/>
              <w:autoSpaceDN w:val="0"/>
              <w:adjustRightInd w:val="0"/>
              <w:contextualSpacing/>
              <w:rPr>
                <w:rFonts w:cstheme="minorHAnsi"/>
                <w:bCs/>
              </w:rPr>
            </w:pPr>
            <w:r>
              <w:rPr>
                <w:rFonts w:cstheme="minorHAnsi"/>
                <w:bCs/>
              </w:rPr>
              <w:t>0.4 – 0.59 = Moderate agreement</w:t>
            </w:r>
          </w:p>
          <w:p w14:paraId="771EF9A3" w14:textId="72CF9F49" w:rsidR="00613EF1" w:rsidRDefault="00613EF1" w:rsidP="00FC3F66">
            <w:pPr>
              <w:autoSpaceDE w:val="0"/>
              <w:autoSpaceDN w:val="0"/>
              <w:adjustRightInd w:val="0"/>
              <w:contextualSpacing/>
              <w:rPr>
                <w:rFonts w:cstheme="minorHAnsi"/>
                <w:bCs/>
              </w:rPr>
            </w:pPr>
            <w:r>
              <w:rPr>
                <w:rFonts w:cstheme="minorHAnsi"/>
                <w:bCs/>
              </w:rPr>
              <w:t>0.6 – 0.79 = Substantial agreement</w:t>
            </w:r>
          </w:p>
          <w:p w14:paraId="221EAB68" w14:textId="219715C7" w:rsidR="00613EF1" w:rsidRDefault="00613EF1" w:rsidP="00FC3F66">
            <w:pPr>
              <w:autoSpaceDE w:val="0"/>
              <w:autoSpaceDN w:val="0"/>
              <w:adjustRightInd w:val="0"/>
              <w:contextualSpacing/>
              <w:rPr>
                <w:rFonts w:cstheme="minorHAnsi"/>
                <w:bCs/>
              </w:rPr>
            </w:pPr>
            <w:r>
              <w:rPr>
                <w:rFonts w:cstheme="minorHAnsi"/>
                <w:bCs/>
              </w:rPr>
              <w:t>0.8 – 0.99 = Almost Perfect agreement</w:t>
            </w:r>
          </w:p>
          <w:p w14:paraId="3C2B30A9" w14:textId="7CD877D6" w:rsidR="00613EF1" w:rsidRDefault="00613EF1" w:rsidP="00FC3F66">
            <w:pPr>
              <w:autoSpaceDE w:val="0"/>
              <w:autoSpaceDN w:val="0"/>
              <w:adjustRightInd w:val="0"/>
              <w:contextualSpacing/>
              <w:rPr>
                <w:rFonts w:cstheme="minorHAnsi"/>
                <w:bCs/>
              </w:rPr>
            </w:pPr>
            <w:r>
              <w:rPr>
                <w:rFonts w:cstheme="minorHAnsi"/>
                <w:bCs/>
              </w:rPr>
              <w:t>1 = Perfect agreement</w:t>
            </w:r>
          </w:p>
          <w:p w14:paraId="177A4E39" w14:textId="77777777" w:rsidR="00613EF1" w:rsidRDefault="00613EF1" w:rsidP="00FC3F66">
            <w:pPr>
              <w:autoSpaceDE w:val="0"/>
              <w:autoSpaceDN w:val="0"/>
              <w:adjustRightInd w:val="0"/>
              <w:rPr>
                <w:rFonts w:cstheme="minorHAnsi"/>
                <w:bCs/>
              </w:rPr>
            </w:pPr>
          </w:p>
          <w:p w14:paraId="3E338FEE" w14:textId="0D765E87" w:rsidR="00FC3F66" w:rsidRPr="008B2676" w:rsidRDefault="00613EF1" w:rsidP="000C4B23">
            <w:pPr>
              <w:autoSpaceDE w:val="0"/>
              <w:autoSpaceDN w:val="0"/>
              <w:adjustRightInd w:val="0"/>
              <w:spacing w:before="120" w:after="120"/>
              <w:rPr>
                <w:rFonts w:cstheme="minorHAnsi"/>
                <w:bCs/>
                <w:u w:val="single"/>
              </w:rPr>
            </w:pPr>
            <w:r w:rsidRPr="008B2676">
              <w:rPr>
                <w:rFonts w:cstheme="minorHAnsi"/>
                <w:bCs/>
                <w:u w:val="single"/>
              </w:rPr>
              <w:t>Referenc</w:t>
            </w:r>
            <w:r w:rsidR="00FC3F66" w:rsidRPr="008B2676">
              <w:rPr>
                <w:rFonts w:cstheme="minorHAnsi"/>
                <w:bCs/>
                <w:u w:val="single"/>
              </w:rPr>
              <w:t>e</w:t>
            </w:r>
            <w:r w:rsidR="008B2676" w:rsidRPr="008B2676">
              <w:rPr>
                <w:rFonts w:cstheme="minorHAnsi"/>
                <w:bCs/>
                <w:u w:val="single"/>
              </w:rPr>
              <w:t>s</w:t>
            </w:r>
            <w:r w:rsidR="00FC3F66" w:rsidRPr="008B2676">
              <w:rPr>
                <w:rFonts w:cstheme="minorHAnsi"/>
                <w:bCs/>
                <w:u w:val="single"/>
              </w:rPr>
              <w:t>:</w:t>
            </w:r>
          </w:p>
          <w:p w14:paraId="1038A83E" w14:textId="77777777" w:rsidR="000B3814" w:rsidRDefault="00613EF1" w:rsidP="000C4B23">
            <w:pPr>
              <w:autoSpaceDE w:val="0"/>
              <w:autoSpaceDN w:val="0"/>
              <w:adjustRightInd w:val="0"/>
              <w:spacing w:before="120" w:after="120"/>
              <w:rPr>
                <w:rFonts w:cstheme="minorHAnsi"/>
                <w:bCs/>
              </w:rPr>
            </w:pPr>
            <w:r>
              <w:rPr>
                <w:rFonts w:cstheme="minorHAnsi"/>
                <w:bCs/>
              </w:rPr>
              <w:t>Landis J, Koch G. (1977). The measurement of observer agreement for ca</w:t>
            </w:r>
            <w:r w:rsidR="000B6DFC">
              <w:rPr>
                <w:rFonts w:cstheme="minorHAnsi"/>
                <w:bCs/>
              </w:rPr>
              <w:t xml:space="preserve">tegorical data. Biometrics; </w:t>
            </w:r>
            <w:r>
              <w:rPr>
                <w:rFonts w:cstheme="minorHAnsi"/>
                <w:bCs/>
              </w:rPr>
              <w:t>33:159 -174.</w:t>
            </w:r>
          </w:p>
          <w:p w14:paraId="4861BFB4" w14:textId="0098F2D3" w:rsidR="00391893" w:rsidRDefault="00391893" w:rsidP="00391893">
            <w:pPr>
              <w:pStyle w:val="EndNoteBibliography"/>
              <w:spacing w:before="120" w:after="120"/>
            </w:pPr>
            <w:r>
              <w:t>Lyman S, Lee Y</w:t>
            </w:r>
            <w:r w:rsidRPr="00E55980">
              <w:t xml:space="preserve">Y, Franklin PD, Li W, Mayman DJ, Padgett DE. </w:t>
            </w:r>
            <w:r>
              <w:t>(2016</w:t>
            </w:r>
            <w:r w:rsidR="00B66E1C">
              <w:t>a</w:t>
            </w:r>
            <w:r>
              <w:t xml:space="preserve">). </w:t>
            </w:r>
            <w:r w:rsidRPr="00E55980">
              <w:t>Validatio</w:t>
            </w:r>
            <w:r>
              <w:t xml:space="preserve">n of the HOOS, JR: A Short-form </w:t>
            </w:r>
            <w:r w:rsidRPr="00E55980">
              <w:t xml:space="preserve">Hip Replacement Survey. </w:t>
            </w:r>
            <w:r w:rsidRPr="00E55980">
              <w:rPr>
                <w:i/>
              </w:rPr>
              <w:t>Clinical Orth</w:t>
            </w:r>
            <w:r>
              <w:rPr>
                <w:i/>
              </w:rPr>
              <w:t>opaedics and Related Research®</w:t>
            </w:r>
            <w:r w:rsidRPr="009C3E46">
              <w:t>,</w:t>
            </w:r>
            <w:r>
              <w:rPr>
                <w:i/>
              </w:rPr>
              <w:t xml:space="preserve"> </w:t>
            </w:r>
            <w:r w:rsidRPr="00E55980">
              <w:t>474(6):1472-1482.</w:t>
            </w:r>
          </w:p>
          <w:p w14:paraId="72A39759" w14:textId="06A84BF1" w:rsidR="00C77647" w:rsidRPr="00C77647" w:rsidRDefault="00391893" w:rsidP="00B66E1C">
            <w:pPr>
              <w:spacing w:before="120" w:after="120"/>
            </w:pPr>
            <w:r>
              <w:t>Lyman S, Lee Y</w:t>
            </w:r>
            <w:r w:rsidRPr="00E55980">
              <w:t>Y, Franklin PD, Li W, Cross MB, Padgett DE.</w:t>
            </w:r>
            <w:r>
              <w:t xml:space="preserve"> (2016</w:t>
            </w:r>
            <w:r w:rsidR="00B66E1C">
              <w:t>b</w:t>
            </w:r>
            <w:r>
              <w:t>).</w:t>
            </w:r>
            <w:r w:rsidRPr="00E55980">
              <w:t xml:space="preserve"> Validation of the KOOS, JR: A Short-form Knee Arthroplasty Outcomes Survey. </w:t>
            </w:r>
            <w:r w:rsidRPr="00E55980">
              <w:rPr>
                <w:i/>
              </w:rPr>
              <w:t>Clinical Orth</w:t>
            </w:r>
            <w:r>
              <w:rPr>
                <w:i/>
              </w:rPr>
              <w:t>opaedics and Related Research®</w:t>
            </w:r>
            <w:r w:rsidRPr="009C3E46">
              <w:t>,</w:t>
            </w:r>
            <w:r>
              <w:t xml:space="preserve"> </w:t>
            </w:r>
            <w:r w:rsidRPr="00E55980">
              <w:t>474(6):1461-1471.</w:t>
            </w:r>
          </w:p>
        </w:tc>
      </w:tr>
    </w:tbl>
    <w:p w14:paraId="0CABCFD4" w14:textId="260D0607"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lastRenderedPageBreak/>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59630A90"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78AB733" w:rsidR="00696262" w:rsidRPr="00A25024" w:rsidRDefault="00D7728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A2BD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D4BA70F" w:rsidR="000574AB" w:rsidRPr="00A25024" w:rsidRDefault="00D7728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A2BD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5A2BD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106C918E" w14:textId="479972BA" w:rsidR="00394224"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tbl>
      <w:tblPr>
        <w:tblStyle w:val="TableGrid"/>
        <w:tblW w:w="0" w:type="auto"/>
        <w:tblLook w:val="04A0" w:firstRow="1" w:lastRow="0" w:firstColumn="1" w:lastColumn="0" w:noHBand="0" w:noVBand="1"/>
      </w:tblPr>
      <w:tblGrid>
        <w:gridCol w:w="9350"/>
      </w:tblGrid>
      <w:tr w:rsidR="00394224" w14:paraId="3D309CC5" w14:textId="77777777" w:rsidTr="00062A58">
        <w:tc>
          <w:tcPr>
            <w:tcW w:w="9350" w:type="dxa"/>
          </w:tcPr>
          <w:p w14:paraId="6A086AFA" w14:textId="24F06F36" w:rsidR="0069503B" w:rsidRPr="00704126" w:rsidRDefault="0069503B" w:rsidP="0069503B">
            <w:pPr>
              <w:autoSpaceDE w:val="0"/>
              <w:autoSpaceDN w:val="0"/>
              <w:adjustRightInd w:val="0"/>
              <w:rPr>
                <w:rFonts w:cstheme="minorHAnsi"/>
                <w:b/>
                <w:bCs/>
                <w:u w:val="single"/>
              </w:rPr>
            </w:pPr>
            <w:r w:rsidRPr="00704126">
              <w:rPr>
                <w:rFonts w:cstheme="minorHAnsi"/>
                <w:b/>
                <w:bCs/>
                <w:u w:val="single"/>
              </w:rPr>
              <w:t>Data Element Validity</w:t>
            </w:r>
          </w:p>
          <w:p w14:paraId="046649D3" w14:textId="15FF6F91" w:rsidR="0069503B" w:rsidRDefault="0069503B" w:rsidP="0069503B">
            <w:pPr>
              <w:autoSpaceDE w:val="0"/>
              <w:autoSpaceDN w:val="0"/>
              <w:adjustRightInd w:val="0"/>
              <w:rPr>
                <w:rFonts w:cstheme="minorHAnsi"/>
                <w:bCs/>
              </w:rPr>
            </w:pPr>
            <w:r>
              <w:rPr>
                <w:rFonts w:cstheme="minorHAnsi"/>
                <w:bCs/>
              </w:rPr>
              <w:t xml:space="preserve">Data element validity is evidenced by validity testing conducted during the development and testing of the </w:t>
            </w:r>
            <w:r w:rsidR="00975755">
              <w:rPr>
                <w:rFonts w:cstheme="minorHAnsi"/>
                <w:bCs/>
              </w:rPr>
              <w:t>joint-specific PROMs</w:t>
            </w:r>
            <w:r>
              <w:rPr>
                <w:rFonts w:cstheme="minorHAnsi"/>
                <w:bCs/>
              </w:rPr>
              <w:t xml:space="preserve"> on which this THA</w:t>
            </w:r>
            <w:r w:rsidR="00A82027">
              <w:rPr>
                <w:rFonts w:cstheme="minorHAnsi"/>
                <w:bCs/>
              </w:rPr>
              <w:t xml:space="preserve">/TKA PRO-PM is based. </w:t>
            </w:r>
            <w:r w:rsidR="008B3738">
              <w:rPr>
                <w:rFonts w:cstheme="minorHAnsi"/>
                <w:bCs/>
              </w:rPr>
              <w:t xml:space="preserve">All validity testing for the HOOS, </w:t>
            </w:r>
            <w:r w:rsidR="008B3738">
              <w:rPr>
                <w:rFonts w:cstheme="minorHAnsi"/>
                <w:bCs/>
              </w:rPr>
              <w:lastRenderedPageBreak/>
              <w:t>JR and KOOS, JR instruments was conducted by the PROM developers (Lyman et al, 2016a; Lyman et al, 2016b).</w:t>
            </w:r>
          </w:p>
          <w:p w14:paraId="632AD913" w14:textId="77777777" w:rsidR="0069503B" w:rsidRDefault="0069503B" w:rsidP="0069503B">
            <w:pPr>
              <w:autoSpaceDE w:val="0"/>
              <w:autoSpaceDN w:val="0"/>
              <w:adjustRightInd w:val="0"/>
              <w:rPr>
                <w:rFonts w:cstheme="minorHAnsi"/>
                <w:bCs/>
              </w:rPr>
            </w:pPr>
          </w:p>
          <w:p w14:paraId="7099E4F3" w14:textId="2E108825" w:rsidR="00704126" w:rsidRDefault="0069503B" w:rsidP="0069503B">
            <w:pPr>
              <w:autoSpaceDE w:val="0"/>
              <w:autoSpaceDN w:val="0"/>
              <w:adjustRightInd w:val="0"/>
              <w:rPr>
                <w:rFonts w:cstheme="minorHAnsi"/>
                <w:b/>
                <w:bCs/>
              </w:rPr>
            </w:pPr>
            <w:r w:rsidRPr="00A82027">
              <w:rPr>
                <w:rFonts w:cstheme="minorHAnsi"/>
                <w:b/>
                <w:bCs/>
              </w:rPr>
              <w:t>HOOS, JR Validity:</w:t>
            </w:r>
          </w:p>
          <w:p w14:paraId="7EF1CCAF" w14:textId="2E58D2EB" w:rsidR="00704126" w:rsidRPr="00E87599" w:rsidRDefault="00704126" w:rsidP="00704126">
            <w:pPr>
              <w:autoSpaceDE w:val="0"/>
              <w:autoSpaceDN w:val="0"/>
              <w:adjustRightInd w:val="0"/>
              <w:rPr>
                <w:rFonts w:cs="PqvltsAdvPTimes"/>
                <w:color w:val="000000"/>
              </w:rPr>
            </w:pPr>
            <w:r w:rsidRPr="00E87599">
              <w:rPr>
                <w:rFonts w:cs="PqvltsAdvPTimes"/>
                <w:b/>
              </w:rPr>
              <w:t xml:space="preserve">Responsiveness: </w:t>
            </w:r>
            <w:r w:rsidRPr="00E87599">
              <w:rPr>
                <w:rFonts w:cs="PqvltsAdvPTimes"/>
                <w:color w:val="000000"/>
              </w:rPr>
              <w:t xml:space="preserve">Responsiveness of the HOOS, JR to changes </w:t>
            </w:r>
            <w:r w:rsidR="00141150">
              <w:rPr>
                <w:rFonts w:cs="PqvltsAdvPTimes"/>
                <w:color w:val="000000"/>
              </w:rPr>
              <w:t>following a</w:t>
            </w:r>
            <w:r>
              <w:rPr>
                <w:rFonts w:cs="PqvltsAdvPTimes"/>
                <w:color w:val="000000"/>
              </w:rPr>
              <w:t xml:space="preserve"> </w:t>
            </w:r>
            <w:r w:rsidRPr="00E87599">
              <w:rPr>
                <w:rFonts w:cs="PqvltsAdvPTimes"/>
                <w:color w:val="000000"/>
              </w:rPr>
              <w:t xml:space="preserve">total hip replacement was </w:t>
            </w:r>
            <w:r>
              <w:rPr>
                <w:rFonts w:cs="PqvltsAdvPTimes"/>
                <w:color w:val="000000"/>
              </w:rPr>
              <w:t>evaluated</w:t>
            </w:r>
            <w:r w:rsidRPr="00E87599">
              <w:rPr>
                <w:rFonts w:cs="PqvltsAdvPTimes"/>
                <w:color w:val="000000"/>
              </w:rPr>
              <w:t xml:space="preserve"> usi</w:t>
            </w:r>
            <w:r>
              <w:rPr>
                <w:rFonts w:cs="PqvltsAdvPTimes"/>
                <w:color w:val="000000"/>
              </w:rPr>
              <w:t xml:space="preserve">ng standardized response means, and then examined against </w:t>
            </w:r>
            <w:r w:rsidRPr="00E87599">
              <w:rPr>
                <w:rFonts w:cs="PqvltsAdvPTimes"/>
                <w:color w:val="000000"/>
              </w:rPr>
              <w:t xml:space="preserve">other </w:t>
            </w:r>
            <w:r w:rsidR="00E34527">
              <w:rPr>
                <w:rFonts w:cs="PqvltsAdvPTimes"/>
                <w:color w:val="000000"/>
              </w:rPr>
              <w:t xml:space="preserve">previously </w:t>
            </w:r>
            <w:r w:rsidRPr="00E87599">
              <w:rPr>
                <w:rFonts w:cs="PqvltsAdvPTimes"/>
                <w:color w:val="000000"/>
              </w:rPr>
              <w:t xml:space="preserve">validated PROMs (HOOS domains, </w:t>
            </w:r>
            <w:r>
              <w:rPr>
                <w:rFonts w:cs="PqvltsAdvPTimes"/>
                <w:color w:val="000000"/>
              </w:rPr>
              <w:t xml:space="preserve">The Western Ontario and McMaster University Arthritis Index </w:t>
            </w:r>
            <w:r w:rsidR="009040EC">
              <w:rPr>
                <w:rFonts w:cs="PqvltsAdvPTimes"/>
                <w:color w:val="000000"/>
              </w:rPr>
              <w:t>[</w:t>
            </w:r>
            <w:r w:rsidRPr="00E87599">
              <w:rPr>
                <w:rFonts w:cs="PqvltsAdvPTimes"/>
                <w:color w:val="000000"/>
              </w:rPr>
              <w:t>WOMAC</w:t>
            </w:r>
            <w:r w:rsidR="009040EC">
              <w:rPr>
                <w:rFonts w:cs="PqvltsAdvPTimes"/>
                <w:color w:val="000000"/>
              </w:rPr>
              <w:t>]</w:t>
            </w:r>
            <w:r w:rsidRPr="00E87599">
              <w:rPr>
                <w:rFonts w:cs="PqvltsAdvPTimes"/>
                <w:color w:val="000000"/>
              </w:rPr>
              <w:t xml:space="preserve"> domains) in the </w:t>
            </w:r>
            <w:r w:rsidRPr="00E87599">
              <w:rPr>
                <w:rFonts w:cs="PqvltsAdvPTimes"/>
              </w:rPr>
              <w:t>H</w:t>
            </w:r>
            <w:r w:rsidR="00645877">
              <w:rPr>
                <w:rFonts w:cs="PqvltsAdvPTimes"/>
              </w:rPr>
              <w:t>S</w:t>
            </w:r>
            <w:r w:rsidR="004238E0">
              <w:rPr>
                <w:rFonts w:cs="PqvltsAdvPTimes"/>
              </w:rPr>
              <w:t>S</w:t>
            </w:r>
            <w:r w:rsidRPr="00E87599">
              <w:rPr>
                <w:rFonts w:cs="PqvltsAdvPTimes"/>
              </w:rPr>
              <w:t xml:space="preserve"> cohort and the Function and Outcomes Research for Comparative Effectiveness in Total Joint Replacement (FORCE-TJR)</w:t>
            </w:r>
            <w:r w:rsidR="009040EC">
              <w:rPr>
                <w:rFonts w:cs="PqvltsAdvPTimes"/>
              </w:rPr>
              <w:t xml:space="preserve"> </w:t>
            </w:r>
            <w:r>
              <w:rPr>
                <w:rFonts w:cs="PqvltsAdvPTimes"/>
                <w:color w:val="000000"/>
              </w:rPr>
              <w:t>registry at 2 years after a THA procedure</w:t>
            </w:r>
            <w:r w:rsidRPr="00E87599">
              <w:rPr>
                <w:rFonts w:cs="PqvltsAdvPTimes"/>
                <w:color w:val="000000"/>
              </w:rPr>
              <w:t xml:space="preserve"> </w:t>
            </w:r>
            <w:r w:rsidR="009040EC">
              <w:rPr>
                <w:rFonts w:cs="PqvltsAdvPTimes"/>
                <w:color w:val="000000"/>
              </w:rPr>
              <w:t>(Lyman et al, 2016a)</w:t>
            </w:r>
            <w:r w:rsidR="008B3738">
              <w:rPr>
                <w:rFonts w:cs="PqvltsAdvPTimes"/>
                <w:color w:val="000000"/>
              </w:rPr>
              <w:t>.</w:t>
            </w:r>
            <w:r w:rsidR="009040EC" w:rsidRPr="00141150">
              <w:rPr>
                <w:rFonts w:cstheme="minorHAnsi"/>
                <w:color w:val="000000"/>
              </w:rPr>
              <w:t xml:space="preserve"> </w:t>
            </w:r>
            <w:r w:rsidRPr="00E87599">
              <w:rPr>
                <w:rFonts w:cs="PqvltsAdvPTimes"/>
                <w:color w:val="000000"/>
              </w:rPr>
              <w:t>A standardized response mean greate</w:t>
            </w:r>
            <w:r w:rsidR="00141150">
              <w:rPr>
                <w:rFonts w:cs="PqvltsAdvPTimes"/>
                <w:color w:val="000000"/>
              </w:rPr>
              <w:t>r than 0.8 wa</w:t>
            </w:r>
            <w:r>
              <w:rPr>
                <w:rFonts w:cs="PqvltsAdvPTimes"/>
                <w:color w:val="000000"/>
              </w:rPr>
              <w:t>s considered large</w:t>
            </w:r>
            <w:r w:rsidR="009040EC">
              <w:rPr>
                <w:rFonts w:cs="PqvltsAdvPTimes"/>
                <w:color w:val="000000"/>
              </w:rPr>
              <w:t xml:space="preserve"> (Steiner and Norman, 2003)</w:t>
            </w:r>
            <w:r w:rsidR="008B3738">
              <w:rPr>
                <w:rFonts w:cs="PqvltsAdvPTimes"/>
                <w:color w:val="000000"/>
              </w:rPr>
              <w:t>.</w:t>
            </w:r>
          </w:p>
          <w:p w14:paraId="7213DC28" w14:textId="215F6943" w:rsidR="00704126" w:rsidRDefault="00704126" w:rsidP="0069503B">
            <w:pPr>
              <w:autoSpaceDE w:val="0"/>
              <w:autoSpaceDN w:val="0"/>
              <w:adjustRightInd w:val="0"/>
              <w:rPr>
                <w:rFonts w:cstheme="minorHAnsi"/>
                <w:b/>
                <w:bCs/>
              </w:rPr>
            </w:pPr>
          </w:p>
          <w:p w14:paraId="4FF0A651" w14:textId="543F144F" w:rsidR="00E34527" w:rsidRPr="00E87599" w:rsidRDefault="00E34527" w:rsidP="00E34527">
            <w:pPr>
              <w:autoSpaceDE w:val="0"/>
              <w:autoSpaceDN w:val="0"/>
              <w:adjustRightInd w:val="0"/>
              <w:rPr>
                <w:rFonts w:cs="PqvltsAdvPTimes"/>
                <w:color w:val="000000"/>
              </w:rPr>
            </w:pPr>
            <w:r w:rsidRPr="00E87599">
              <w:rPr>
                <w:rFonts w:cs="PqvltsAdvPTimes"/>
                <w:b/>
              </w:rPr>
              <w:t>External validity</w:t>
            </w:r>
            <w:r w:rsidRPr="00E87599">
              <w:rPr>
                <w:rFonts w:cs="PqvltsAdvPTimes"/>
              </w:rPr>
              <w:t xml:space="preserve">: </w:t>
            </w:r>
            <w:r>
              <w:rPr>
                <w:rFonts w:cs="PqvltsAdvPTimes"/>
              </w:rPr>
              <w:t>E</w:t>
            </w:r>
            <w:r w:rsidRPr="00E87599">
              <w:rPr>
                <w:rFonts w:cs="PqvltsAdvPTimes"/>
                <w:color w:val="000000"/>
              </w:rPr>
              <w:t xml:space="preserve">xternal construct validity was </w:t>
            </w:r>
            <w:r>
              <w:rPr>
                <w:rFonts w:cs="PqvltsAdvPTimes"/>
                <w:color w:val="000000"/>
              </w:rPr>
              <w:t>evaluated using</w:t>
            </w:r>
            <w:r w:rsidR="008B3738">
              <w:rPr>
                <w:rFonts w:cs="PqvltsAdvPTimes"/>
                <w:color w:val="000000"/>
              </w:rPr>
              <w:t xml:space="preserve"> Spearman’s correlatio</w:t>
            </w:r>
            <w:r w:rsidR="008B2676">
              <w:rPr>
                <w:rFonts w:cs="PqvltsAdvPTimes"/>
                <w:color w:val="000000"/>
              </w:rPr>
              <w:t>n</w:t>
            </w:r>
            <w:r w:rsidRPr="00E87599">
              <w:rPr>
                <w:rFonts w:cs="PqvltsAdvPTimes"/>
                <w:color w:val="000000"/>
              </w:rPr>
              <w:t>s between HOOS, JR an</w:t>
            </w:r>
            <w:r>
              <w:rPr>
                <w:rFonts w:cs="PqvltsAdvPTimes"/>
                <w:color w:val="000000"/>
              </w:rPr>
              <w:t>d the HOOS and the WOMAC</w:t>
            </w:r>
            <w:r w:rsidRPr="00E87599">
              <w:rPr>
                <w:rFonts w:cs="PqvltsAdvPTimes"/>
                <w:color w:val="000000"/>
              </w:rPr>
              <w:t>. A Spearman’s correlation coefficient of 0.8 or grea</w:t>
            </w:r>
            <w:r>
              <w:rPr>
                <w:rFonts w:cs="PqvltsAdvPTimes"/>
                <w:color w:val="000000"/>
              </w:rPr>
              <w:t>ter wa</w:t>
            </w:r>
            <w:r w:rsidRPr="00E87599">
              <w:rPr>
                <w:rFonts w:cs="PqvltsAdvPTimes"/>
                <w:color w:val="000000"/>
              </w:rPr>
              <w:t>s consider</w:t>
            </w:r>
            <w:r w:rsidR="002D51E6">
              <w:rPr>
                <w:rFonts w:cs="PqvltsAdvPTimes"/>
                <w:color w:val="000000"/>
              </w:rPr>
              <w:t>ed very high external validity</w:t>
            </w:r>
            <w:r>
              <w:rPr>
                <w:rFonts w:cs="PqvltsAdvPTimes"/>
                <w:color w:val="000000"/>
              </w:rPr>
              <w:t xml:space="preserve"> (Wechsler, 1996)</w:t>
            </w:r>
            <w:r w:rsidR="002D51E6">
              <w:rPr>
                <w:rFonts w:cs="PqvltsAdvPTimes"/>
                <w:color w:val="000000"/>
              </w:rPr>
              <w:t>.</w:t>
            </w:r>
            <w:r w:rsidRPr="00E87599">
              <w:rPr>
                <w:rFonts w:cs="PqvltsAdvPTimes"/>
                <w:color w:val="000000"/>
              </w:rPr>
              <w:t xml:space="preserve"> </w:t>
            </w:r>
            <w:r>
              <w:rPr>
                <w:rFonts w:cs="PqvltsAdvPTimes"/>
                <w:color w:val="000000"/>
              </w:rPr>
              <w:t>External correlations were assessed using a</w:t>
            </w:r>
            <w:r w:rsidRPr="00E87599">
              <w:rPr>
                <w:rFonts w:cs="PqvltsAdvPTimes"/>
                <w:color w:val="000000"/>
              </w:rPr>
              <w:t xml:space="preserve"> scatterplot overlying a contour plot based on bivariate kernel density estimation between </w:t>
            </w:r>
            <w:r>
              <w:rPr>
                <w:rFonts w:cs="PqvltsAdvPTimes"/>
                <w:color w:val="000000"/>
              </w:rPr>
              <w:t xml:space="preserve">the </w:t>
            </w:r>
            <w:r w:rsidRPr="00E87599">
              <w:rPr>
                <w:rFonts w:cs="PqvltsAdvPTimes"/>
                <w:color w:val="000000"/>
              </w:rPr>
              <w:t>HOOS, JR and</w:t>
            </w:r>
            <w:r>
              <w:rPr>
                <w:rFonts w:cs="PqvltsAdvPTimes"/>
                <w:color w:val="000000"/>
              </w:rPr>
              <w:t xml:space="preserve"> HOOS domains</w:t>
            </w:r>
            <w:r w:rsidR="008B3738">
              <w:rPr>
                <w:rFonts w:cs="PqvltsAdvPTimes"/>
                <w:color w:val="000000"/>
              </w:rPr>
              <w:t xml:space="preserve"> (Lyman et al, 2016a)</w:t>
            </w:r>
            <w:r w:rsidRPr="00E87599">
              <w:rPr>
                <w:rFonts w:cs="PqvltsAdvPTimes"/>
                <w:color w:val="000000"/>
              </w:rPr>
              <w:t xml:space="preserve">. </w:t>
            </w:r>
          </w:p>
          <w:p w14:paraId="5E29644A" w14:textId="77777777" w:rsidR="00E34527" w:rsidRPr="00E87599" w:rsidRDefault="00E34527" w:rsidP="00E34527">
            <w:pPr>
              <w:autoSpaceDE w:val="0"/>
              <w:autoSpaceDN w:val="0"/>
              <w:adjustRightInd w:val="0"/>
              <w:rPr>
                <w:rFonts w:cs="PqvltsAdvPTimes"/>
              </w:rPr>
            </w:pPr>
          </w:p>
          <w:p w14:paraId="6455F04D" w14:textId="0AD0926B" w:rsidR="00E34527" w:rsidRPr="008B3738" w:rsidRDefault="0030529C" w:rsidP="0069503B">
            <w:pPr>
              <w:autoSpaceDE w:val="0"/>
              <w:autoSpaceDN w:val="0"/>
              <w:adjustRightInd w:val="0"/>
              <w:rPr>
                <w:rFonts w:cs="PqvltsAdvPTimes"/>
              </w:rPr>
            </w:pPr>
            <w:r>
              <w:rPr>
                <w:rFonts w:cs="PqvltsAdvPTimes"/>
                <w:b/>
              </w:rPr>
              <w:t>Floor and ceiling e</w:t>
            </w:r>
            <w:r w:rsidR="00E34527" w:rsidRPr="00E87599">
              <w:rPr>
                <w:rFonts w:cs="PqvltsAdvPTimes"/>
                <w:b/>
              </w:rPr>
              <w:t>ffects</w:t>
            </w:r>
            <w:r w:rsidR="00E34527">
              <w:rPr>
                <w:rFonts w:cs="PqvltsAdvPTimes"/>
              </w:rPr>
              <w:t xml:space="preserve">: </w:t>
            </w:r>
            <w:r w:rsidR="00E34527" w:rsidRPr="00E87599">
              <w:rPr>
                <w:rFonts w:cs="PqvltsAdvPTimes"/>
              </w:rPr>
              <w:t>Floor</w:t>
            </w:r>
            <w:r w:rsidR="008B3738">
              <w:rPr>
                <w:rFonts w:cs="PqvltsAdvPTimes"/>
              </w:rPr>
              <w:t xml:space="preserve"> and ceiling effects</w:t>
            </w:r>
            <w:r w:rsidR="00E34527" w:rsidRPr="00E87599">
              <w:rPr>
                <w:rFonts w:cs="PqvltsAdvPTimes"/>
              </w:rPr>
              <w:t xml:space="preserve"> (percent at worst possible score preoperatively</w:t>
            </w:r>
            <w:r w:rsidR="008B3738">
              <w:rPr>
                <w:rFonts w:cs="PqvltsAdvPTimes"/>
              </w:rPr>
              <w:t xml:space="preserve"> and best possible score </w:t>
            </w:r>
            <w:r w:rsidR="00E34527" w:rsidRPr="00E87599">
              <w:rPr>
                <w:rFonts w:cs="PqvltsAdvPTimes"/>
              </w:rPr>
              <w:t xml:space="preserve">postoperatively) </w:t>
            </w:r>
            <w:r w:rsidR="008B3738">
              <w:rPr>
                <w:rFonts w:cs="PqvltsAdvPTimes"/>
              </w:rPr>
              <w:t xml:space="preserve">were evaluated against the HOOS and the WOMAC instruments </w:t>
            </w:r>
            <w:r w:rsidR="008B3738">
              <w:rPr>
                <w:rFonts w:cs="PqvltsAdvPTimes"/>
                <w:color w:val="000000"/>
              </w:rPr>
              <w:t>(Lyman et al, 2016a)</w:t>
            </w:r>
            <w:r w:rsidR="008B3738">
              <w:rPr>
                <w:rFonts w:cs="PqvltsAdvPTimes"/>
              </w:rPr>
              <w:t>.</w:t>
            </w:r>
          </w:p>
          <w:p w14:paraId="70085C97" w14:textId="77777777" w:rsidR="0069503B" w:rsidRDefault="0069503B" w:rsidP="0069503B">
            <w:pPr>
              <w:autoSpaceDE w:val="0"/>
              <w:autoSpaceDN w:val="0"/>
              <w:adjustRightInd w:val="0"/>
              <w:rPr>
                <w:rFonts w:cstheme="minorHAnsi"/>
                <w:bCs/>
              </w:rPr>
            </w:pPr>
          </w:p>
          <w:p w14:paraId="0BD4F71B" w14:textId="177878FB" w:rsidR="0069503B" w:rsidRDefault="0069503B" w:rsidP="0069503B">
            <w:pPr>
              <w:autoSpaceDE w:val="0"/>
              <w:autoSpaceDN w:val="0"/>
              <w:adjustRightInd w:val="0"/>
              <w:rPr>
                <w:rFonts w:cstheme="minorHAnsi"/>
                <w:b/>
                <w:bCs/>
              </w:rPr>
            </w:pPr>
            <w:r w:rsidRPr="00A82027">
              <w:rPr>
                <w:rFonts w:cstheme="minorHAnsi"/>
                <w:b/>
                <w:bCs/>
              </w:rPr>
              <w:t>KOOS, JR Validity:</w:t>
            </w:r>
          </w:p>
          <w:p w14:paraId="03C5EAC3" w14:textId="3559249C" w:rsidR="00141150" w:rsidRDefault="00141150" w:rsidP="0069503B">
            <w:pPr>
              <w:autoSpaceDE w:val="0"/>
              <w:autoSpaceDN w:val="0"/>
              <w:adjustRightInd w:val="0"/>
              <w:rPr>
                <w:rFonts w:cs="PqvltsAdvPTimes"/>
                <w:color w:val="000000"/>
              </w:rPr>
            </w:pPr>
            <w:r w:rsidRPr="00141150">
              <w:rPr>
                <w:rFonts w:cstheme="minorHAnsi"/>
                <w:b/>
              </w:rPr>
              <w:t xml:space="preserve">Responsiveness: </w:t>
            </w:r>
            <w:r>
              <w:rPr>
                <w:rFonts w:cstheme="minorHAnsi"/>
              </w:rPr>
              <w:t xml:space="preserve">Responsiveness of the KOOS, JR to changes following total knee replacement </w:t>
            </w:r>
            <w:r w:rsidRPr="00E87599">
              <w:rPr>
                <w:rFonts w:cs="PqvltsAdvPTimes"/>
                <w:color w:val="000000"/>
              </w:rPr>
              <w:t xml:space="preserve">was </w:t>
            </w:r>
            <w:r>
              <w:rPr>
                <w:rFonts w:cs="PqvltsAdvPTimes"/>
                <w:color w:val="000000"/>
              </w:rPr>
              <w:t>evaluated</w:t>
            </w:r>
            <w:r w:rsidRPr="00E87599">
              <w:rPr>
                <w:rFonts w:cs="PqvltsAdvPTimes"/>
                <w:color w:val="000000"/>
              </w:rPr>
              <w:t xml:space="preserve"> usi</w:t>
            </w:r>
            <w:r>
              <w:rPr>
                <w:rFonts w:cs="PqvltsAdvPTimes"/>
                <w:color w:val="000000"/>
              </w:rPr>
              <w:t xml:space="preserve">ng standardized response means, and then examined against </w:t>
            </w:r>
            <w:r w:rsidRPr="00E87599">
              <w:rPr>
                <w:rFonts w:cs="PqvltsAdvPTimes"/>
                <w:color w:val="000000"/>
              </w:rPr>
              <w:t xml:space="preserve">other validated PROMs </w:t>
            </w:r>
            <w:r w:rsidRPr="00141150">
              <w:rPr>
                <w:rFonts w:cstheme="minorHAnsi"/>
                <w:color w:val="000000"/>
              </w:rPr>
              <w:t>(KOOS domains,</w:t>
            </w:r>
            <w:r>
              <w:rPr>
                <w:rFonts w:cstheme="minorHAnsi"/>
                <w:color w:val="000000"/>
              </w:rPr>
              <w:t xml:space="preserve"> </w:t>
            </w:r>
            <w:r w:rsidRPr="00141150">
              <w:rPr>
                <w:rFonts w:cstheme="minorHAnsi"/>
                <w:color w:val="000000"/>
              </w:rPr>
              <w:t>WOMAC do</w:t>
            </w:r>
            <w:r w:rsidR="00E04B9E">
              <w:rPr>
                <w:rFonts w:cstheme="minorHAnsi"/>
                <w:color w:val="000000"/>
              </w:rPr>
              <w:t xml:space="preserve">mains) in the validation cohort </w:t>
            </w:r>
            <w:r w:rsidR="009040EC">
              <w:rPr>
                <w:rFonts w:cs="PqvltsAdvPTimes"/>
                <w:color w:val="000000"/>
              </w:rPr>
              <w:t>(Lyman et al, 2016b</w:t>
            </w:r>
            <w:r>
              <w:rPr>
                <w:rFonts w:cs="PqvltsAdvPTimes"/>
                <w:color w:val="000000"/>
              </w:rPr>
              <w:t>)</w:t>
            </w:r>
            <w:r w:rsidR="00E04B9E">
              <w:rPr>
                <w:rFonts w:cstheme="minorHAnsi"/>
                <w:color w:val="000000"/>
              </w:rPr>
              <w:t xml:space="preserve">. </w:t>
            </w:r>
            <w:r w:rsidRPr="00E87599">
              <w:rPr>
                <w:rFonts w:cs="PqvltsAdvPTimes"/>
                <w:color w:val="000000"/>
              </w:rPr>
              <w:t>A standardized response mean greate</w:t>
            </w:r>
            <w:r>
              <w:rPr>
                <w:rFonts w:cs="PqvltsAdvPTimes"/>
                <w:color w:val="000000"/>
              </w:rPr>
              <w:t>r than 0.8 was considered large</w:t>
            </w:r>
            <w:r w:rsidR="008B3738">
              <w:rPr>
                <w:rFonts w:cs="PqvltsAdvPTimes"/>
                <w:color w:val="000000"/>
              </w:rPr>
              <w:t xml:space="preserve"> </w:t>
            </w:r>
            <w:r w:rsidR="009040EC">
              <w:rPr>
                <w:rFonts w:cs="PqvltsAdvPTimes"/>
                <w:color w:val="000000"/>
              </w:rPr>
              <w:t>(Steiner and Norman, 2003)</w:t>
            </w:r>
            <w:r w:rsidR="008B3738">
              <w:rPr>
                <w:rFonts w:cs="PqvltsAdvPTimes"/>
                <w:color w:val="000000"/>
              </w:rPr>
              <w:t>.</w:t>
            </w:r>
          </w:p>
          <w:p w14:paraId="3066C4FE" w14:textId="71A0109F" w:rsidR="008B3738" w:rsidRDefault="008B3738" w:rsidP="0069503B">
            <w:pPr>
              <w:autoSpaceDE w:val="0"/>
              <w:autoSpaceDN w:val="0"/>
              <w:adjustRightInd w:val="0"/>
              <w:rPr>
                <w:rFonts w:cs="PqvltsAdvPTimes"/>
                <w:color w:val="000000"/>
              </w:rPr>
            </w:pPr>
          </w:p>
          <w:p w14:paraId="41E82679" w14:textId="17409D04" w:rsidR="008B3738" w:rsidRPr="00E87599" w:rsidRDefault="008B3738" w:rsidP="008B3738">
            <w:pPr>
              <w:autoSpaceDE w:val="0"/>
              <w:autoSpaceDN w:val="0"/>
              <w:adjustRightInd w:val="0"/>
              <w:rPr>
                <w:rFonts w:cs="PqvltsAdvPTimes"/>
                <w:color w:val="000000"/>
              </w:rPr>
            </w:pPr>
            <w:r w:rsidRPr="00E87599">
              <w:rPr>
                <w:rFonts w:cs="PqvltsAdvPTimes"/>
                <w:b/>
              </w:rPr>
              <w:t>External validity</w:t>
            </w:r>
            <w:r w:rsidRPr="00E87599">
              <w:rPr>
                <w:rFonts w:cs="PqvltsAdvPTimes"/>
              </w:rPr>
              <w:t xml:space="preserve">: </w:t>
            </w:r>
            <w:r>
              <w:rPr>
                <w:rFonts w:cs="PqvltsAdvPTimes"/>
              </w:rPr>
              <w:t>E</w:t>
            </w:r>
            <w:r w:rsidRPr="00E87599">
              <w:rPr>
                <w:rFonts w:cs="PqvltsAdvPTimes"/>
                <w:color w:val="000000"/>
              </w:rPr>
              <w:t xml:space="preserve">xternal construct validity was </w:t>
            </w:r>
            <w:r>
              <w:rPr>
                <w:rFonts w:cs="PqvltsAdvPTimes"/>
                <w:color w:val="000000"/>
              </w:rPr>
              <w:t>evaluated using Spearman’s correlatio</w:t>
            </w:r>
            <w:r w:rsidR="008B2676">
              <w:rPr>
                <w:rFonts w:cs="PqvltsAdvPTimes"/>
                <w:color w:val="000000"/>
              </w:rPr>
              <w:t>n</w:t>
            </w:r>
            <w:r>
              <w:rPr>
                <w:rFonts w:cs="PqvltsAdvPTimes"/>
                <w:color w:val="000000"/>
              </w:rPr>
              <w:t>s between K</w:t>
            </w:r>
            <w:r w:rsidRPr="00E87599">
              <w:rPr>
                <w:rFonts w:cs="PqvltsAdvPTimes"/>
                <w:color w:val="000000"/>
              </w:rPr>
              <w:t>OOS, JR an</w:t>
            </w:r>
            <w:r>
              <w:rPr>
                <w:rFonts w:cs="PqvltsAdvPTimes"/>
                <w:color w:val="000000"/>
              </w:rPr>
              <w:t>d the KOOS and the WOMAC</w:t>
            </w:r>
            <w:r w:rsidRPr="00E87599">
              <w:rPr>
                <w:rFonts w:cs="PqvltsAdvPTimes"/>
                <w:color w:val="000000"/>
              </w:rPr>
              <w:t>. A Spearman’s correlation coefficient of 0.8 or grea</w:t>
            </w:r>
            <w:r>
              <w:rPr>
                <w:rFonts w:cs="PqvltsAdvPTimes"/>
                <w:color w:val="000000"/>
              </w:rPr>
              <w:t>ter wa</w:t>
            </w:r>
            <w:r w:rsidRPr="00E87599">
              <w:rPr>
                <w:rFonts w:cs="PqvltsAdvPTimes"/>
                <w:color w:val="000000"/>
              </w:rPr>
              <w:t>s consider</w:t>
            </w:r>
            <w:r w:rsidR="00E04B9E">
              <w:rPr>
                <w:rFonts w:cs="PqvltsAdvPTimes"/>
                <w:color w:val="000000"/>
              </w:rPr>
              <w:t>ed very high external validity</w:t>
            </w:r>
            <w:r>
              <w:rPr>
                <w:rFonts w:cs="PqvltsAdvPTimes"/>
                <w:color w:val="000000"/>
              </w:rPr>
              <w:t xml:space="preserve"> (Wechsler, 1996)</w:t>
            </w:r>
            <w:r w:rsidR="00E04B9E">
              <w:rPr>
                <w:rFonts w:cs="PqvltsAdvPTimes"/>
                <w:color w:val="000000"/>
              </w:rPr>
              <w:t>.</w:t>
            </w:r>
            <w:r w:rsidRPr="00E87599">
              <w:rPr>
                <w:rFonts w:cs="PqvltsAdvPTimes"/>
                <w:color w:val="000000"/>
              </w:rPr>
              <w:t xml:space="preserve"> </w:t>
            </w:r>
            <w:r>
              <w:rPr>
                <w:rFonts w:cs="PqvltsAdvPTimes"/>
                <w:color w:val="000000"/>
              </w:rPr>
              <w:t>External correlations were assessed using a</w:t>
            </w:r>
            <w:r w:rsidRPr="00E87599">
              <w:rPr>
                <w:rFonts w:cs="PqvltsAdvPTimes"/>
                <w:color w:val="000000"/>
              </w:rPr>
              <w:t xml:space="preserve"> scatterplot overlying a contour plot based on bivariate kernel density estimation between </w:t>
            </w:r>
            <w:r>
              <w:rPr>
                <w:rFonts w:cs="PqvltsAdvPTimes"/>
                <w:color w:val="000000"/>
              </w:rPr>
              <w:t>the K</w:t>
            </w:r>
            <w:r w:rsidRPr="00E87599">
              <w:rPr>
                <w:rFonts w:cs="PqvltsAdvPTimes"/>
                <w:color w:val="000000"/>
              </w:rPr>
              <w:t>OOS, JR and</w:t>
            </w:r>
            <w:r>
              <w:rPr>
                <w:rFonts w:cs="PqvltsAdvPTimes"/>
                <w:color w:val="000000"/>
              </w:rPr>
              <w:t xml:space="preserve"> KOOS domains (Lyman et al, 2016b)</w:t>
            </w:r>
            <w:r w:rsidRPr="00E87599">
              <w:rPr>
                <w:rFonts w:cs="PqvltsAdvPTimes"/>
                <w:color w:val="000000"/>
              </w:rPr>
              <w:t xml:space="preserve">. </w:t>
            </w:r>
          </w:p>
          <w:p w14:paraId="0218D56A" w14:textId="77777777" w:rsidR="008B3738" w:rsidRPr="00E87599" w:rsidRDefault="008B3738" w:rsidP="008B3738">
            <w:pPr>
              <w:autoSpaceDE w:val="0"/>
              <w:autoSpaceDN w:val="0"/>
              <w:adjustRightInd w:val="0"/>
              <w:rPr>
                <w:rFonts w:cs="PqvltsAdvPTimes"/>
              </w:rPr>
            </w:pPr>
          </w:p>
          <w:p w14:paraId="0DBFF4BD" w14:textId="24F4A5CB" w:rsidR="008B3738" w:rsidRPr="008B3738" w:rsidRDefault="0030529C" w:rsidP="008B3738">
            <w:pPr>
              <w:autoSpaceDE w:val="0"/>
              <w:autoSpaceDN w:val="0"/>
              <w:adjustRightInd w:val="0"/>
              <w:rPr>
                <w:rFonts w:cs="PqvltsAdvPTimes"/>
              </w:rPr>
            </w:pPr>
            <w:r>
              <w:rPr>
                <w:rFonts w:cs="PqvltsAdvPTimes"/>
                <w:b/>
              </w:rPr>
              <w:t>Floor and ceiling e</w:t>
            </w:r>
            <w:r w:rsidR="008B3738" w:rsidRPr="00E87599">
              <w:rPr>
                <w:rFonts w:cs="PqvltsAdvPTimes"/>
                <w:b/>
              </w:rPr>
              <w:t>ffects</w:t>
            </w:r>
            <w:r w:rsidR="008B3738">
              <w:rPr>
                <w:rFonts w:cs="PqvltsAdvPTimes"/>
              </w:rPr>
              <w:t xml:space="preserve">: </w:t>
            </w:r>
            <w:r w:rsidR="008B3738" w:rsidRPr="00E87599">
              <w:rPr>
                <w:rFonts w:cs="PqvltsAdvPTimes"/>
              </w:rPr>
              <w:t>Floor</w:t>
            </w:r>
            <w:r w:rsidR="008B3738">
              <w:rPr>
                <w:rFonts w:cs="PqvltsAdvPTimes"/>
              </w:rPr>
              <w:t xml:space="preserve"> and ceiling effects</w:t>
            </w:r>
            <w:r w:rsidR="008B3738" w:rsidRPr="00E87599">
              <w:rPr>
                <w:rFonts w:cs="PqvltsAdvPTimes"/>
              </w:rPr>
              <w:t xml:space="preserve"> (percent at worst possible score preoperatively</w:t>
            </w:r>
            <w:r w:rsidR="008B3738">
              <w:rPr>
                <w:rFonts w:cs="PqvltsAdvPTimes"/>
              </w:rPr>
              <w:t xml:space="preserve"> and best possible score </w:t>
            </w:r>
            <w:r w:rsidR="008B3738" w:rsidRPr="00E87599">
              <w:rPr>
                <w:rFonts w:cs="PqvltsAdvPTimes"/>
              </w:rPr>
              <w:t xml:space="preserve">postoperatively) </w:t>
            </w:r>
            <w:r w:rsidR="008B3738">
              <w:rPr>
                <w:rFonts w:cs="PqvltsAdvPTimes"/>
              </w:rPr>
              <w:t xml:space="preserve">were evaluated against the KOOS and the WOMAC instruments </w:t>
            </w:r>
            <w:r w:rsidR="008B3738">
              <w:rPr>
                <w:rFonts w:cs="PqvltsAdvPTimes"/>
                <w:color w:val="000000"/>
              </w:rPr>
              <w:t>(Lyman et al, 2016b)</w:t>
            </w:r>
            <w:r w:rsidR="008B3738">
              <w:rPr>
                <w:rFonts w:cs="PqvltsAdvPTimes"/>
              </w:rPr>
              <w:t>.</w:t>
            </w:r>
          </w:p>
          <w:p w14:paraId="0D2A767B" w14:textId="62E74476" w:rsidR="0069503B" w:rsidRDefault="0069503B" w:rsidP="008B3738">
            <w:pPr>
              <w:pStyle w:val="EndNoteBibliography"/>
              <w:rPr>
                <w:u w:val="single"/>
              </w:rPr>
            </w:pPr>
          </w:p>
          <w:p w14:paraId="310FF9F1" w14:textId="389825EF" w:rsidR="0069503B" w:rsidRPr="009040EC" w:rsidRDefault="00135D49" w:rsidP="0069503B">
            <w:pPr>
              <w:pStyle w:val="EndNoteBibliography"/>
              <w:ind w:left="720" w:hanging="720"/>
              <w:rPr>
                <w:rFonts w:asciiTheme="minorHAnsi" w:hAnsiTheme="minorHAnsi"/>
                <w:b/>
                <w:u w:val="single"/>
              </w:rPr>
            </w:pPr>
            <w:r w:rsidRPr="009040EC">
              <w:rPr>
                <w:rFonts w:asciiTheme="minorHAnsi" w:hAnsiTheme="minorHAnsi"/>
                <w:b/>
                <w:u w:val="single"/>
              </w:rPr>
              <w:t xml:space="preserve">Empirical </w:t>
            </w:r>
            <w:r w:rsidR="0069503B" w:rsidRPr="009040EC">
              <w:rPr>
                <w:rFonts w:asciiTheme="minorHAnsi" w:hAnsiTheme="minorHAnsi"/>
                <w:b/>
                <w:u w:val="single"/>
              </w:rPr>
              <w:t>Measure Score Validity</w:t>
            </w:r>
          </w:p>
          <w:p w14:paraId="4CF4614D" w14:textId="799C2E2A" w:rsidR="0069503B" w:rsidRPr="00271DFB" w:rsidRDefault="00271DFB" w:rsidP="00271DFB">
            <w:pPr>
              <w:pStyle w:val="NormalWeb"/>
              <w:spacing w:before="0" w:beforeAutospacing="0" w:after="0" w:afterAutospacing="0"/>
              <w:rPr>
                <w:rFonts w:asciiTheme="minorHAnsi" w:hAnsiTheme="minorHAnsi"/>
                <w:sz w:val="22"/>
                <w:szCs w:val="22"/>
              </w:rPr>
            </w:pPr>
            <w:r>
              <w:rPr>
                <w:rFonts w:asciiTheme="minorHAnsi" w:hAnsiTheme="minorHAnsi"/>
                <w:color w:val="201F1E"/>
                <w:sz w:val="22"/>
                <w:szCs w:val="22"/>
              </w:rPr>
              <w:t>To assess e</w:t>
            </w:r>
            <w:r w:rsidR="00E9208B" w:rsidRPr="00DC29DE">
              <w:rPr>
                <w:rFonts w:asciiTheme="minorHAnsi" w:hAnsiTheme="minorHAnsi"/>
                <w:color w:val="201F1E"/>
                <w:sz w:val="22"/>
                <w:szCs w:val="22"/>
              </w:rPr>
              <w:t xml:space="preserve">mpirical measure score validity we compared </w:t>
            </w:r>
            <w:r w:rsidR="00D909BF">
              <w:rPr>
                <w:rFonts w:asciiTheme="minorHAnsi" w:hAnsiTheme="minorHAnsi"/>
                <w:color w:val="201F1E"/>
                <w:sz w:val="22"/>
                <w:szCs w:val="22"/>
              </w:rPr>
              <w:t>the</w:t>
            </w:r>
            <w:r w:rsidR="00E9208B" w:rsidRPr="00DC29DE">
              <w:rPr>
                <w:rFonts w:asciiTheme="minorHAnsi" w:hAnsiTheme="minorHAnsi"/>
                <w:color w:val="201F1E"/>
                <w:sz w:val="22"/>
                <w:szCs w:val="22"/>
              </w:rPr>
              <w:t xml:space="preserve"> THA/TKA PRO-PM </w:t>
            </w:r>
            <w:r w:rsidR="00D909BF">
              <w:rPr>
                <w:rFonts w:asciiTheme="minorHAnsi" w:hAnsiTheme="minorHAnsi"/>
                <w:color w:val="201F1E"/>
                <w:sz w:val="22"/>
                <w:szCs w:val="22"/>
              </w:rPr>
              <w:t>risk-standardized improvement rates (</w:t>
            </w:r>
            <w:r w:rsidR="00E9208B" w:rsidRPr="00DC29DE">
              <w:rPr>
                <w:rFonts w:asciiTheme="minorHAnsi" w:hAnsiTheme="minorHAnsi"/>
                <w:color w:val="201F1E"/>
                <w:sz w:val="22"/>
                <w:szCs w:val="22"/>
              </w:rPr>
              <w:t>RSIRs</w:t>
            </w:r>
            <w:r w:rsidR="00D909BF">
              <w:rPr>
                <w:rFonts w:asciiTheme="minorHAnsi" w:hAnsiTheme="minorHAnsi"/>
                <w:color w:val="201F1E"/>
                <w:sz w:val="22"/>
                <w:szCs w:val="22"/>
              </w:rPr>
              <w:t>)</w:t>
            </w:r>
            <w:r w:rsidR="00E9208B" w:rsidRPr="00DC29DE">
              <w:rPr>
                <w:rFonts w:asciiTheme="minorHAnsi" w:hAnsiTheme="minorHAnsi"/>
                <w:color w:val="201F1E"/>
                <w:sz w:val="22"/>
                <w:szCs w:val="22"/>
              </w:rPr>
              <w:t xml:space="preserve"> to the NQF endorsed Hip/Knee Complication Measure (NQF #1550: Hospital-level risk-standardized complication rate (RSCR) following elective primary THA/TKA</w:t>
            </w:r>
            <w:r w:rsidR="00DC29DE" w:rsidRPr="00DC29DE">
              <w:rPr>
                <w:rFonts w:asciiTheme="minorHAnsi" w:hAnsiTheme="minorHAnsi"/>
                <w:color w:val="201F1E"/>
                <w:sz w:val="22"/>
                <w:szCs w:val="22"/>
              </w:rPr>
              <w:t>.) T</w:t>
            </w:r>
            <w:r w:rsidR="00DC29DE" w:rsidRPr="00DC29DE">
              <w:rPr>
                <w:rFonts w:asciiTheme="minorHAnsi" w:hAnsiTheme="minorHAnsi"/>
                <w:color w:val="000000"/>
                <w:sz w:val="22"/>
                <w:szCs w:val="22"/>
                <w:shd w:val="clear" w:color="auto" w:fill="FFFFFF"/>
              </w:rPr>
              <w:t xml:space="preserve">his measure estimates the risk-adjusted rate that patients who have experienced an elective primary THA/TKA experience at least one of eight complications within 90 days of the procedure. The RSCR </w:t>
            </w:r>
            <w:r w:rsidR="00E9208B" w:rsidRPr="00DC29DE">
              <w:rPr>
                <w:rFonts w:asciiTheme="minorHAnsi" w:hAnsiTheme="minorHAnsi"/>
                <w:color w:val="000000"/>
                <w:sz w:val="22"/>
                <w:szCs w:val="22"/>
                <w:shd w:val="clear" w:color="auto" w:fill="FFFFFF"/>
              </w:rPr>
              <w:t>is categorized into 3 groups: worse than national average, same as national average, and better than national average. </w:t>
            </w:r>
            <w:r w:rsidR="003E61C9">
              <w:rPr>
                <w:rFonts w:asciiTheme="minorHAnsi" w:hAnsiTheme="minorHAnsi"/>
                <w:color w:val="000000"/>
                <w:sz w:val="22"/>
                <w:szCs w:val="22"/>
                <w:shd w:val="clear" w:color="auto" w:fill="FFFFFF"/>
              </w:rPr>
              <w:t xml:space="preserve">Data for the hospital RSCRs from </w:t>
            </w:r>
            <w:r w:rsidR="000D59E5">
              <w:rPr>
                <w:rFonts w:asciiTheme="minorHAnsi" w:hAnsiTheme="minorHAnsi"/>
                <w:color w:val="000000"/>
                <w:sz w:val="22"/>
                <w:szCs w:val="22"/>
                <w:shd w:val="clear" w:color="auto" w:fill="FFFFFF"/>
              </w:rPr>
              <w:t xml:space="preserve">April 1, </w:t>
            </w:r>
            <w:r w:rsidR="003E61C9">
              <w:rPr>
                <w:rFonts w:asciiTheme="minorHAnsi" w:hAnsiTheme="minorHAnsi"/>
                <w:color w:val="000000"/>
                <w:sz w:val="22"/>
                <w:szCs w:val="22"/>
                <w:shd w:val="clear" w:color="auto" w:fill="FFFFFF"/>
              </w:rPr>
              <w:t xml:space="preserve">2015 to </w:t>
            </w:r>
            <w:r w:rsidR="000D59E5">
              <w:rPr>
                <w:rFonts w:asciiTheme="minorHAnsi" w:hAnsiTheme="minorHAnsi"/>
                <w:color w:val="000000"/>
                <w:sz w:val="22"/>
                <w:szCs w:val="22"/>
                <w:shd w:val="clear" w:color="auto" w:fill="FFFFFF"/>
              </w:rPr>
              <w:t xml:space="preserve">March 31, </w:t>
            </w:r>
            <w:r w:rsidR="003E61C9">
              <w:rPr>
                <w:rFonts w:asciiTheme="minorHAnsi" w:hAnsiTheme="minorHAnsi"/>
                <w:color w:val="000000"/>
                <w:sz w:val="22"/>
                <w:szCs w:val="22"/>
                <w:shd w:val="clear" w:color="auto" w:fill="FFFFFF"/>
              </w:rPr>
              <w:t>2018 were compared to RSIRs for procedures performed July 1, 2016 to June 30, 2017.</w:t>
            </w:r>
          </w:p>
          <w:p w14:paraId="56459D24" w14:textId="77777777" w:rsidR="0069503B" w:rsidRDefault="0069503B" w:rsidP="0069503B">
            <w:pPr>
              <w:pStyle w:val="EndNoteBibliography"/>
              <w:ind w:left="720" w:hanging="720"/>
              <w:rPr>
                <w:u w:val="single"/>
              </w:rPr>
            </w:pPr>
          </w:p>
          <w:p w14:paraId="29991496" w14:textId="77777777" w:rsidR="0069503B" w:rsidRDefault="0069503B" w:rsidP="0069503B">
            <w:pPr>
              <w:pStyle w:val="EndNoteBibliography"/>
              <w:ind w:left="720" w:hanging="720"/>
              <w:rPr>
                <w:u w:val="single"/>
              </w:rPr>
            </w:pPr>
          </w:p>
          <w:p w14:paraId="69EF1B8B" w14:textId="77920A43" w:rsidR="0069503B" w:rsidRPr="000C4B23" w:rsidRDefault="0069503B" w:rsidP="000C4B23">
            <w:pPr>
              <w:pStyle w:val="EndNoteBibliography"/>
              <w:spacing w:before="120" w:after="120"/>
              <w:ind w:left="720" w:hanging="720"/>
              <w:rPr>
                <w:u w:val="single"/>
              </w:rPr>
            </w:pPr>
            <w:r w:rsidRPr="00704360">
              <w:rPr>
                <w:u w:val="single"/>
              </w:rPr>
              <w:lastRenderedPageBreak/>
              <w:t xml:space="preserve">References:  </w:t>
            </w:r>
          </w:p>
          <w:p w14:paraId="50170F6E" w14:textId="38A0AA85" w:rsidR="0069503B" w:rsidRDefault="0069503B" w:rsidP="000C4B23">
            <w:pPr>
              <w:pStyle w:val="EndNoteBibliography"/>
              <w:spacing w:before="120" w:after="120"/>
            </w:pPr>
            <w:r w:rsidRPr="00E55980">
              <w:t>Lyman S, Lee Y-Y, Franklin PD, Li W, Mayman DJ, Padgett DE. Validatio</w:t>
            </w:r>
            <w:r>
              <w:t xml:space="preserve">n of the HOOS, JR: A Short-form </w:t>
            </w:r>
            <w:r w:rsidRPr="00E55980">
              <w:t xml:space="preserve">Hip Replacement Survey. </w:t>
            </w:r>
            <w:r w:rsidRPr="00E55980">
              <w:rPr>
                <w:i/>
              </w:rPr>
              <w:t xml:space="preserve">Clinical Orthopaedics and Related Research®. </w:t>
            </w:r>
            <w:r w:rsidRPr="00E55980">
              <w:t>2016;474(6):1472-1482.</w:t>
            </w:r>
          </w:p>
          <w:p w14:paraId="1AD25A2E" w14:textId="77777777" w:rsidR="00394224" w:rsidRDefault="0069503B" w:rsidP="000C4B23">
            <w:pPr>
              <w:autoSpaceDE w:val="0"/>
              <w:autoSpaceDN w:val="0"/>
              <w:adjustRightInd w:val="0"/>
              <w:spacing w:before="120" w:after="120"/>
            </w:pPr>
            <w:r w:rsidRPr="00E55980">
              <w:t xml:space="preserve">Lyman S, Lee Y-Y, Franklin PD, Li W, Cross MB, Padgett DE. Validation of the KOOS, JR: A Short-form Knee Arthroplasty Outcomes Survey. </w:t>
            </w:r>
            <w:r w:rsidRPr="00E55980">
              <w:rPr>
                <w:i/>
              </w:rPr>
              <w:t xml:space="preserve">Clinical Orthopaedics and Related Research®. </w:t>
            </w:r>
            <w:r w:rsidRPr="00E55980">
              <w:t>2016;474(6):1461-1471.</w:t>
            </w:r>
          </w:p>
          <w:p w14:paraId="15B7D37B" w14:textId="77777777" w:rsidR="009040EC" w:rsidRDefault="009040EC" w:rsidP="000C4B23">
            <w:pPr>
              <w:autoSpaceDE w:val="0"/>
              <w:autoSpaceDN w:val="0"/>
              <w:adjustRightInd w:val="0"/>
              <w:spacing w:before="120" w:after="120"/>
            </w:pPr>
            <w:r>
              <w:t>Steiner DL, Norman GR. (2003). Health Measurement Scales: A Practical Guide to Their Development and Use. London, UK: Oxford University Press.</w:t>
            </w:r>
          </w:p>
          <w:p w14:paraId="3018A9A3" w14:textId="7F9986AE" w:rsidR="00E34527" w:rsidRDefault="00E34527" w:rsidP="000C4B23">
            <w:pPr>
              <w:autoSpaceDE w:val="0"/>
              <w:autoSpaceDN w:val="0"/>
              <w:adjustRightInd w:val="0"/>
              <w:spacing w:before="120" w:after="120"/>
              <w:rPr>
                <w:rFonts w:cstheme="minorHAnsi"/>
                <w:bCs/>
              </w:rPr>
            </w:pPr>
            <w:r>
              <w:t>Wechsler S. (1996). Statistics at Square One. 9th ed. London, UK: BMJ Publishing Group.</w:t>
            </w:r>
          </w:p>
        </w:tc>
      </w:tr>
    </w:tbl>
    <w:p w14:paraId="0CABCFDD" w14:textId="3F347F39" w:rsidR="00833325" w:rsidRPr="00A25024" w:rsidRDefault="00833325" w:rsidP="00DB3627">
      <w:pPr>
        <w:autoSpaceDE w:val="0"/>
        <w:autoSpaceDN w:val="0"/>
        <w:adjustRightInd w:val="0"/>
        <w:spacing w:after="0" w:line="240" w:lineRule="auto"/>
        <w:rPr>
          <w:rFonts w:cstheme="minorHAnsi"/>
          <w:bCs/>
        </w:rPr>
      </w:pPr>
    </w:p>
    <w:p w14:paraId="7921D37D" w14:textId="6E369D62" w:rsidR="00394224" w:rsidRPr="00092566"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tbl>
      <w:tblPr>
        <w:tblStyle w:val="TableGrid"/>
        <w:tblW w:w="0" w:type="auto"/>
        <w:tblLook w:val="04A0" w:firstRow="1" w:lastRow="0" w:firstColumn="1" w:lastColumn="0" w:noHBand="0" w:noVBand="1"/>
      </w:tblPr>
      <w:tblGrid>
        <w:gridCol w:w="9350"/>
      </w:tblGrid>
      <w:tr w:rsidR="00394224" w14:paraId="2975D8CE" w14:textId="77777777" w:rsidTr="00062A58">
        <w:tc>
          <w:tcPr>
            <w:tcW w:w="9350" w:type="dxa"/>
          </w:tcPr>
          <w:p w14:paraId="3667B8C5" w14:textId="77777777" w:rsidR="000C003F" w:rsidRPr="008B2676" w:rsidRDefault="000C003F" w:rsidP="000C003F">
            <w:pPr>
              <w:autoSpaceDE w:val="0"/>
              <w:autoSpaceDN w:val="0"/>
              <w:adjustRightInd w:val="0"/>
              <w:rPr>
                <w:rFonts w:cstheme="minorHAnsi"/>
                <w:b/>
                <w:bCs/>
                <w:u w:val="single"/>
              </w:rPr>
            </w:pPr>
            <w:r w:rsidRPr="008B2676">
              <w:rPr>
                <w:rFonts w:cstheme="minorHAnsi"/>
                <w:b/>
                <w:bCs/>
                <w:u w:val="single"/>
              </w:rPr>
              <w:t>Data Element Validity</w:t>
            </w:r>
          </w:p>
          <w:p w14:paraId="1014D654" w14:textId="28F112F5" w:rsidR="008B2676" w:rsidRDefault="008B2676" w:rsidP="008B2676">
            <w:pPr>
              <w:autoSpaceDE w:val="0"/>
              <w:autoSpaceDN w:val="0"/>
              <w:adjustRightInd w:val="0"/>
              <w:rPr>
                <w:rFonts w:cstheme="minorHAnsi"/>
                <w:bCs/>
              </w:rPr>
            </w:pPr>
            <w:r>
              <w:rPr>
                <w:rFonts w:cstheme="minorHAnsi"/>
                <w:bCs/>
              </w:rPr>
              <w:t>Data element validity results are reported for validity testing conducted during the development and testing of the</w:t>
            </w:r>
            <w:r w:rsidR="009C7FD2">
              <w:rPr>
                <w:rFonts w:cstheme="minorHAnsi"/>
                <w:bCs/>
              </w:rPr>
              <w:t xml:space="preserve"> joint</w:t>
            </w:r>
            <w:r>
              <w:rPr>
                <w:rFonts w:cstheme="minorHAnsi"/>
                <w:bCs/>
              </w:rPr>
              <w:t xml:space="preserve">-specific </w:t>
            </w:r>
            <w:r w:rsidR="009C7FD2">
              <w:rPr>
                <w:rFonts w:cstheme="minorHAnsi"/>
                <w:bCs/>
              </w:rPr>
              <w:t>PROMs</w:t>
            </w:r>
            <w:r>
              <w:rPr>
                <w:rFonts w:cstheme="minorHAnsi"/>
                <w:bCs/>
              </w:rPr>
              <w:t xml:space="preserve"> on which this THA/TKA PRO-PM is based. </w:t>
            </w:r>
          </w:p>
          <w:p w14:paraId="4DEA0551" w14:textId="77777777" w:rsidR="000C003F" w:rsidRDefault="000C003F" w:rsidP="000C003F">
            <w:pPr>
              <w:autoSpaceDE w:val="0"/>
              <w:autoSpaceDN w:val="0"/>
              <w:adjustRightInd w:val="0"/>
              <w:rPr>
                <w:rFonts w:cstheme="minorHAnsi"/>
                <w:bCs/>
              </w:rPr>
            </w:pPr>
          </w:p>
          <w:p w14:paraId="25DAC1FA" w14:textId="7A08A96E" w:rsidR="000C003F" w:rsidRDefault="000C003F" w:rsidP="000C003F">
            <w:pPr>
              <w:autoSpaceDE w:val="0"/>
              <w:autoSpaceDN w:val="0"/>
              <w:adjustRightInd w:val="0"/>
              <w:rPr>
                <w:rFonts w:cstheme="minorHAnsi"/>
                <w:bCs/>
              </w:rPr>
            </w:pPr>
            <w:r w:rsidRPr="000C003F">
              <w:rPr>
                <w:rFonts w:cstheme="minorHAnsi"/>
                <w:b/>
                <w:bCs/>
              </w:rPr>
              <w:t>HOOS, JR Validity</w:t>
            </w:r>
            <w:r>
              <w:rPr>
                <w:rFonts w:cstheme="minorHAnsi"/>
                <w:bCs/>
              </w:rPr>
              <w:t>:</w:t>
            </w:r>
          </w:p>
          <w:p w14:paraId="20C025A5" w14:textId="73100D6B" w:rsidR="00704126" w:rsidRDefault="00704126" w:rsidP="00704126">
            <w:pPr>
              <w:autoSpaceDE w:val="0"/>
              <w:autoSpaceDN w:val="0"/>
              <w:adjustRightInd w:val="0"/>
              <w:rPr>
                <w:rFonts w:cs="PqvltsAdvPTimes"/>
              </w:rPr>
            </w:pPr>
            <w:r w:rsidRPr="00E87599">
              <w:rPr>
                <w:rFonts w:cs="PqvltsAdvPTimes"/>
                <w:b/>
              </w:rPr>
              <w:t>Responsiveness</w:t>
            </w:r>
            <w:r w:rsidRPr="00E87599">
              <w:rPr>
                <w:rFonts w:cs="PqvltsAdvPTimes"/>
              </w:rPr>
              <w:t xml:space="preserve">: </w:t>
            </w:r>
            <w:r w:rsidR="00141150">
              <w:rPr>
                <w:rFonts w:cs="PqvltsAdvPTimes"/>
              </w:rPr>
              <w:t>S</w:t>
            </w:r>
            <w:r w:rsidRPr="00E87599">
              <w:rPr>
                <w:rFonts w:cs="PqvltsAdvPTimes"/>
              </w:rPr>
              <w:t>tandardized respo</w:t>
            </w:r>
            <w:r w:rsidR="00141150">
              <w:rPr>
                <w:rFonts w:cs="PqvltsAdvPTimes"/>
              </w:rPr>
              <w:t xml:space="preserve">nse means </w:t>
            </w:r>
            <w:r w:rsidR="009040EC">
              <w:rPr>
                <w:rFonts w:cs="PqvltsAdvPTimes"/>
              </w:rPr>
              <w:t xml:space="preserve">for the HOOS, JR </w:t>
            </w:r>
            <w:r w:rsidR="00141150">
              <w:rPr>
                <w:rFonts w:cs="PqvltsAdvPTimes"/>
              </w:rPr>
              <w:t>relative to other</w:t>
            </w:r>
            <w:r w:rsidRPr="00E87599">
              <w:rPr>
                <w:rFonts w:cs="PqvltsAdvPTimes"/>
              </w:rPr>
              <w:t xml:space="preserve"> </w:t>
            </w:r>
            <w:r w:rsidR="009040EC">
              <w:rPr>
                <w:rFonts w:cs="PqvltsAdvPTimes"/>
              </w:rPr>
              <w:t>PROMs</w:t>
            </w:r>
            <w:r w:rsidR="00141150">
              <w:rPr>
                <w:rFonts w:cs="PqvltsAdvPTimes"/>
              </w:rPr>
              <w:t xml:space="preserve"> measuring post-surgery hip improvement were</w:t>
            </w:r>
            <w:r w:rsidRPr="00E87599">
              <w:rPr>
                <w:rFonts w:cs="PqvltsAdvPTimes"/>
              </w:rPr>
              <w:t xml:space="preserve"> </w:t>
            </w:r>
            <w:r w:rsidR="00141150">
              <w:rPr>
                <w:rFonts w:cs="PqvltsAdvPTimes"/>
              </w:rPr>
              <w:t xml:space="preserve">2.38 (95% CI, 2.27–2.49) in the </w:t>
            </w:r>
            <w:r w:rsidRPr="00E87599">
              <w:rPr>
                <w:rFonts w:cs="PqvltsAdvPTimes"/>
              </w:rPr>
              <w:t>HSS</w:t>
            </w:r>
            <w:r w:rsidR="00141150">
              <w:rPr>
                <w:rFonts w:cs="PqvltsAdvPTimes"/>
              </w:rPr>
              <w:t xml:space="preserve"> data and 2.03 (</w:t>
            </w:r>
            <w:r w:rsidR="00141150" w:rsidRPr="00E87599">
              <w:rPr>
                <w:rFonts w:cs="PqvltsAdvPTimes"/>
              </w:rPr>
              <w:t>95% CI, 1.84–2.22</w:t>
            </w:r>
            <w:r w:rsidR="00141150">
              <w:rPr>
                <w:rFonts w:cs="PqvltsAdvPTimes"/>
              </w:rPr>
              <w:t xml:space="preserve">) in the </w:t>
            </w:r>
            <w:r w:rsidR="00141150" w:rsidRPr="00E87599">
              <w:rPr>
                <w:rFonts w:cs="PqvltsAdvPTimes"/>
              </w:rPr>
              <w:t>FORCE</w:t>
            </w:r>
            <w:r w:rsidR="00141150">
              <w:rPr>
                <w:rFonts w:cs="PqvltsAdvPTimes"/>
              </w:rPr>
              <w:t xml:space="preserve"> </w:t>
            </w:r>
            <w:r w:rsidR="009040EC">
              <w:rPr>
                <w:rFonts w:cs="PqvltsAdvPTimes"/>
              </w:rPr>
              <w:t xml:space="preserve">registry </w:t>
            </w:r>
            <w:r w:rsidR="00141150">
              <w:rPr>
                <w:rFonts w:cs="PqvltsAdvPTimes"/>
              </w:rPr>
              <w:t>data</w:t>
            </w:r>
            <w:r w:rsidRPr="00E87599">
              <w:rPr>
                <w:rFonts w:cs="PqvltsAdvPTimes"/>
              </w:rPr>
              <w:t xml:space="preserve">. </w:t>
            </w:r>
          </w:p>
          <w:p w14:paraId="49DFC479" w14:textId="28812C0D" w:rsidR="0030529C" w:rsidRDefault="0030529C" w:rsidP="00704126">
            <w:pPr>
              <w:autoSpaceDE w:val="0"/>
              <w:autoSpaceDN w:val="0"/>
              <w:adjustRightInd w:val="0"/>
              <w:rPr>
                <w:rFonts w:cs="PqvltsAdvPTimes"/>
              </w:rPr>
            </w:pPr>
          </w:p>
          <w:p w14:paraId="6EF1A40A" w14:textId="117C4C79" w:rsidR="00F51607" w:rsidRPr="00E87599" w:rsidRDefault="0030529C" w:rsidP="00F51607">
            <w:pPr>
              <w:autoSpaceDE w:val="0"/>
              <w:autoSpaceDN w:val="0"/>
              <w:adjustRightInd w:val="0"/>
              <w:rPr>
                <w:rFonts w:cs="PqvltsAdvPTimes"/>
              </w:rPr>
            </w:pPr>
            <w:r w:rsidRPr="0030529C">
              <w:rPr>
                <w:rFonts w:cstheme="minorHAnsi"/>
                <w:b/>
              </w:rPr>
              <w:t>External validity:</w:t>
            </w:r>
            <w:r w:rsidRPr="0030529C">
              <w:rPr>
                <w:rFonts w:cstheme="minorHAnsi"/>
              </w:rPr>
              <w:t xml:space="preserve"> </w:t>
            </w:r>
            <w:r w:rsidR="00F51607">
              <w:rPr>
                <w:rFonts w:cstheme="minorHAnsi"/>
              </w:rPr>
              <w:t xml:space="preserve">Correlations between the </w:t>
            </w:r>
            <w:r w:rsidR="00F51607" w:rsidRPr="00E87599">
              <w:rPr>
                <w:rFonts w:cs="PqvltsAdvPTimes"/>
              </w:rPr>
              <w:t xml:space="preserve">HOOS, JR </w:t>
            </w:r>
            <w:r w:rsidR="00F51607">
              <w:rPr>
                <w:rFonts w:cs="PqvltsAdvPTimes"/>
              </w:rPr>
              <w:t>and HOOS P</w:t>
            </w:r>
            <w:r w:rsidR="00F51607" w:rsidRPr="00E87599">
              <w:rPr>
                <w:rFonts w:cs="PqvltsAdvPTimes"/>
              </w:rPr>
              <w:t>ain</w:t>
            </w:r>
            <w:r w:rsidR="00F51607">
              <w:rPr>
                <w:rFonts w:cs="PqvltsAdvPTimes"/>
              </w:rPr>
              <w:t xml:space="preserve"> domain were 0.87 (95% CI, 0.86–0.89) in the HSS data and 0.87 (9</w:t>
            </w:r>
            <w:r w:rsidR="00F51607" w:rsidRPr="00E87599">
              <w:rPr>
                <w:rFonts w:cs="PqvltsAdvPTimes"/>
              </w:rPr>
              <w:t>5% CI,</w:t>
            </w:r>
            <w:r w:rsidR="00F51607">
              <w:rPr>
                <w:rFonts w:cs="PqvltsAdvPTimes"/>
              </w:rPr>
              <w:t xml:space="preserve"> 0.84–0.90) in the FORCE registry data. Correlations between the HOOS, JR and HOOS Activity of Daily Living domain were 0.94 (95% CI, 0.93–0.95) in the HSS data and </w:t>
            </w:r>
            <w:r w:rsidR="00F51607" w:rsidRPr="00E87599">
              <w:rPr>
                <w:rFonts w:cs="PqvltsAdvPTimes"/>
              </w:rPr>
              <w:t xml:space="preserve">0.94 </w:t>
            </w:r>
            <w:r w:rsidR="00F51607">
              <w:rPr>
                <w:rFonts w:cs="PqvltsAdvPTimes"/>
                <w:color w:val="000000"/>
              </w:rPr>
              <w:t>(95% CI, 0.93–0.96) in the FORCE registry data. Likewise, correlations between the HOOS, JR and the WOMAC Pain domain was</w:t>
            </w:r>
            <w:r w:rsidR="00F51607" w:rsidRPr="00E87599">
              <w:rPr>
                <w:rFonts w:cs="PqvltsAdvPTimes"/>
                <w:color w:val="000000"/>
              </w:rPr>
              <w:t xml:space="preserve"> </w:t>
            </w:r>
            <w:r w:rsidR="00F51607">
              <w:rPr>
                <w:rFonts w:cs="PqvltsAdvPTimes"/>
                <w:color w:val="000000"/>
              </w:rPr>
              <w:t xml:space="preserve">0.84 (95% CI, 0.81–0.86) in the HSS data and 0.85 (95% CI, 0.81–0.88) in the FORCE registry data; </w:t>
            </w:r>
            <w:r w:rsidR="007635C2">
              <w:rPr>
                <w:rFonts w:cs="PqvltsAdvPTimes"/>
                <w:color w:val="000000"/>
              </w:rPr>
              <w:t xml:space="preserve">between HOOS, JR and WOMAC Functioning </w:t>
            </w:r>
            <w:r w:rsidR="007635C2">
              <w:rPr>
                <w:rFonts w:cs="PqvltsAdvPTimes"/>
              </w:rPr>
              <w:t xml:space="preserve">were 0.94 (95% CI, 0.93–0.95) in the HSS data and </w:t>
            </w:r>
            <w:r w:rsidR="007635C2" w:rsidRPr="00E87599">
              <w:rPr>
                <w:rFonts w:cs="PqvltsAdvPTimes"/>
              </w:rPr>
              <w:t xml:space="preserve">0.94 </w:t>
            </w:r>
            <w:r w:rsidR="007635C2">
              <w:rPr>
                <w:rFonts w:cs="PqvltsAdvPTimes"/>
                <w:color w:val="000000"/>
              </w:rPr>
              <w:t>(95% CI, 0.93–0.96) in the FORCE registry data; and between the HOOS, JR</w:t>
            </w:r>
            <w:r w:rsidR="00F51607" w:rsidRPr="00E87599">
              <w:rPr>
                <w:rFonts w:cs="PqvltsAdvPTimes"/>
                <w:color w:val="000000"/>
              </w:rPr>
              <w:t xml:space="preserve"> and</w:t>
            </w:r>
            <w:r w:rsidR="00F51607" w:rsidRPr="00E87599">
              <w:rPr>
                <w:rFonts w:cs="PqvltsAdvPTimes"/>
              </w:rPr>
              <w:t xml:space="preserve"> </w:t>
            </w:r>
            <w:r w:rsidR="007635C2">
              <w:rPr>
                <w:rFonts w:cs="PqvltsAdvPTimes"/>
                <w:color w:val="000000"/>
              </w:rPr>
              <w:t>WOMAC Stiffness domain were 0.64 (95% CI, 0.58–0.71) in the HSS data and</w:t>
            </w:r>
            <w:r w:rsidR="00F51607" w:rsidRPr="00E87599">
              <w:rPr>
                <w:rFonts w:cs="PqvltsAdvPTimes"/>
              </w:rPr>
              <w:t xml:space="preserve"> </w:t>
            </w:r>
            <w:r w:rsidR="007635C2">
              <w:rPr>
                <w:rFonts w:cs="PqvltsAdvPTimes"/>
                <w:color w:val="000000"/>
              </w:rPr>
              <w:t>0.65 (95% CI, 0.61–0.68) in the FORCE registry data (Lyman et al, 2016a).</w:t>
            </w:r>
          </w:p>
          <w:p w14:paraId="3958DA6C" w14:textId="688E7F84" w:rsidR="00704126" w:rsidRDefault="00704126" w:rsidP="000C003F">
            <w:pPr>
              <w:autoSpaceDE w:val="0"/>
              <w:autoSpaceDN w:val="0"/>
              <w:adjustRightInd w:val="0"/>
              <w:rPr>
                <w:rFonts w:cstheme="minorHAnsi"/>
                <w:bCs/>
              </w:rPr>
            </w:pPr>
          </w:p>
          <w:p w14:paraId="5B5C8450" w14:textId="4D578878" w:rsidR="008B2676" w:rsidRPr="00200F5E" w:rsidRDefault="0030529C" w:rsidP="000C003F">
            <w:pPr>
              <w:autoSpaceDE w:val="0"/>
              <w:autoSpaceDN w:val="0"/>
              <w:adjustRightInd w:val="0"/>
              <w:rPr>
                <w:rFonts w:cs="PqvltsAdvPTimes"/>
              </w:rPr>
            </w:pPr>
            <w:r>
              <w:rPr>
                <w:rFonts w:cs="PqvltsAdvPTimes"/>
                <w:b/>
              </w:rPr>
              <w:t>Floor and ceiling e</w:t>
            </w:r>
            <w:r w:rsidR="008B2676" w:rsidRPr="00E87599">
              <w:rPr>
                <w:rFonts w:cs="PqvltsAdvPTimes"/>
                <w:b/>
              </w:rPr>
              <w:t>ffects</w:t>
            </w:r>
            <w:r w:rsidR="00200F5E">
              <w:rPr>
                <w:rFonts w:cs="PqvltsAdvPTimes"/>
                <w:b/>
              </w:rPr>
              <w:t>:</w:t>
            </w:r>
            <w:r w:rsidR="00200F5E" w:rsidRPr="00E87599">
              <w:rPr>
                <w:rFonts w:cs="PqvltsAdvPTimes"/>
              </w:rPr>
              <w:t xml:space="preserve"> The HOOS, JR showed floor (0.6%–1.9%)</w:t>
            </w:r>
            <w:r w:rsidR="00200F5E">
              <w:rPr>
                <w:rFonts w:cs="PqvltsAdvPTimes"/>
              </w:rPr>
              <w:t xml:space="preserve"> and ceiling (37%–46%) effects, and were comparable to or </w:t>
            </w:r>
            <w:r w:rsidR="00200F5E" w:rsidRPr="00E87599">
              <w:rPr>
                <w:rFonts w:cs="PqvltsAdvPTimes"/>
              </w:rPr>
              <w:t xml:space="preserve">better than HOOS </w:t>
            </w:r>
            <w:r w:rsidR="00200F5E">
              <w:rPr>
                <w:rFonts w:cs="PqvltsAdvPTimes"/>
              </w:rPr>
              <w:t xml:space="preserve">domains </w:t>
            </w:r>
            <w:r w:rsidR="00200F5E" w:rsidRPr="00E87599">
              <w:rPr>
                <w:rFonts w:cs="PqvltsAdvPTimes"/>
              </w:rPr>
              <w:t xml:space="preserve">and </w:t>
            </w:r>
            <w:r w:rsidR="00200F5E">
              <w:rPr>
                <w:rFonts w:cs="PqvltsAdvPTimes"/>
              </w:rPr>
              <w:t>the WOMAC (Lyman et al, 2016a).</w:t>
            </w:r>
          </w:p>
          <w:p w14:paraId="09F6BFF4" w14:textId="77777777" w:rsidR="00A82027" w:rsidRDefault="00A82027" w:rsidP="000C003F">
            <w:pPr>
              <w:autoSpaceDE w:val="0"/>
              <w:autoSpaceDN w:val="0"/>
              <w:adjustRightInd w:val="0"/>
              <w:rPr>
                <w:rFonts w:cstheme="minorHAnsi"/>
                <w:b/>
                <w:bCs/>
              </w:rPr>
            </w:pPr>
          </w:p>
          <w:p w14:paraId="6A7F4D98" w14:textId="77777777" w:rsidR="000C003F" w:rsidRDefault="000C003F" w:rsidP="000C003F">
            <w:pPr>
              <w:autoSpaceDE w:val="0"/>
              <w:autoSpaceDN w:val="0"/>
              <w:adjustRightInd w:val="0"/>
              <w:rPr>
                <w:rFonts w:cstheme="minorHAnsi"/>
                <w:bCs/>
              </w:rPr>
            </w:pPr>
            <w:r w:rsidRPr="000C003F">
              <w:rPr>
                <w:rFonts w:cstheme="minorHAnsi"/>
                <w:b/>
                <w:bCs/>
              </w:rPr>
              <w:t>KOOS, JR Validity</w:t>
            </w:r>
            <w:r>
              <w:rPr>
                <w:rFonts w:cstheme="minorHAnsi"/>
                <w:bCs/>
              </w:rPr>
              <w:t>:</w:t>
            </w:r>
          </w:p>
          <w:p w14:paraId="7B5CE151" w14:textId="6AD15348" w:rsidR="009040EC" w:rsidRDefault="009040EC" w:rsidP="009040EC">
            <w:pPr>
              <w:autoSpaceDE w:val="0"/>
              <w:autoSpaceDN w:val="0"/>
              <w:adjustRightInd w:val="0"/>
              <w:rPr>
                <w:rFonts w:cstheme="minorHAnsi"/>
              </w:rPr>
            </w:pPr>
            <w:r w:rsidRPr="009040EC">
              <w:rPr>
                <w:rFonts w:cstheme="minorHAnsi"/>
                <w:b/>
              </w:rPr>
              <w:t>Responsiveness</w:t>
            </w:r>
            <w:r w:rsidRPr="009040EC">
              <w:rPr>
                <w:rFonts w:cstheme="minorHAnsi"/>
              </w:rPr>
              <w:t xml:space="preserve">: </w:t>
            </w:r>
            <w:r>
              <w:rPr>
                <w:rFonts w:cs="PqvltsAdvPTimes"/>
              </w:rPr>
              <w:t>S</w:t>
            </w:r>
            <w:r w:rsidRPr="00E87599">
              <w:rPr>
                <w:rFonts w:cs="PqvltsAdvPTimes"/>
              </w:rPr>
              <w:t>tandardized respo</w:t>
            </w:r>
            <w:r>
              <w:rPr>
                <w:rFonts w:cs="PqvltsAdvPTimes"/>
              </w:rPr>
              <w:t>nse means for the KOOS, JR relative to other</w:t>
            </w:r>
            <w:r w:rsidRPr="00E87599">
              <w:rPr>
                <w:rFonts w:cs="PqvltsAdvPTimes"/>
              </w:rPr>
              <w:t xml:space="preserve"> </w:t>
            </w:r>
            <w:r>
              <w:rPr>
                <w:rFonts w:cs="PqvltsAdvPTimes"/>
              </w:rPr>
              <w:t>PROMs measuring post-surgery knee improvement were</w:t>
            </w:r>
            <w:r>
              <w:rPr>
                <w:rFonts w:cstheme="minorHAnsi"/>
              </w:rPr>
              <w:t xml:space="preserve"> 1.79 (95% CI, 1.70–1.88) in the </w:t>
            </w:r>
            <w:r w:rsidRPr="009040EC">
              <w:rPr>
                <w:rFonts w:cstheme="minorHAnsi"/>
              </w:rPr>
              <w:t>HSS</w:t>
            </w:r>
            <w:r>
              <w:rPr>
                <w:rFonts w:cstheme="minorHAnsi"/>
              </w:rPr>
              <w:t xml:space="preserve"> data and</w:t>
            </w:r>
            <w:r w:rsidRPr="009040EC">
              <w:rPr>
                <w:rFonts w:cstheme="minorHAnsi"/>
              </w:rPr>
              <w:t xml:space="preserve"> 1.70</w:t>
            </w:r>
            <w:r>
              <w:rPr>
                <w:rFonts w:cstheme="minorHAnsi"/>
              </w:rPr>
              <w:t xml:space="preserve"> (95% CI, 1.54–1.86) in the FORCE registry data.</w:t>
            </w:r>
            <w:r w:rsidRPr="009040EC">
              <w:rPr>
                <w:rFonts w:cstheme="minorHAnsi"/>
              </w:rPr>
              <w:t xml:space="preserve"> </w:t>
            </w:r>
          </w:p>
          <w:p w14:paraId="7806AEC2" w14:textId="336B4AA1" w:rsidR="00E30DBC" w:rsidRDefault="00E30DBC" w:rsidP="009040EC">
            <w:pPr>
              <w:autoSpaceDE w:val="0"/>
              <w:autoSpaceDN w:val="0"/>
              <w:adjustRightInd w:val="0"/>
              <w:rPr>
                <w:rFonts w:cstheme="minorHAnsi"/>
              </w:rPr>
            </w:pPr>
          </w:p>
          <w:p w14:paraId="361AC999" w14:textId="6D2BBCCB" w:rsidR="00E30DBC" w:rsidRDefault="00E30DBC" w:rsidP="009040EC">
            <w:pPr>
              <w:autoSpaceDE w:val="0"/>
              <w:autoSpaceDN w:val="0"/>
              <w:adjustRightInd w:val="0"/>
              <w:rPr>
                <w:rFonts w:cstheme="minorHAnsi"/>
              </w:rPr>
            </w:pPr>
            <w:r w:rsidRPr="0030529C">
              <w:rPr>
                <w:rFonts w:cstheme="minorHAnsi"/>
                <w:b/>
              </w:rPr>
              <w:t>External validity:</w:t>
            </w:r>
            <w:r w:rsidRPr="0030529C">
              <w:rPr>
                <w:rFonts w:cstheme="minorHAnsi"/>
              </w:rPr>
              <w:t xml:space="preserve"> </w:t>
            </w:r>
            <w:r w:rsidRPr="0030529C">
              <w:rPr>
                <w:rFonts w:cstheme="minorHAnsi"/>
                <w:color w:val="000000"/>
              </w:rPr>
              <w:t xml:space="preserve">Correlations </w:t>
            </w:r>
            <w:r>
              <w:rPr>
                <w:rFonts w:cstheme="minorHAnsi"/>
                <w:color w:val="000000"/>
              </w:rPr>
              <w:t>between the KOOS, JR and KOOS P</w:t>
            </w:r>
            <w:r w:rsidR="00F51607">
              <w:rPr>
                <w:rFonts w:cstheme="minorHAnsi"/>
                <w:color w:val="000000"/>
              </w:rPr>
              <w:t>ain domain were</w:t>
            </w:r>
            <w:r>
              <w:rPr>
                <w:rFonts w:cstheme="minorHAnsi"/>
                <w:color w:val="000000"/>
              </w:rPr>
              <w:t xml:space="preserve"> 0.89 (95% CI, 0.88–0.91) in the HSS data and 0.91 (</w:t>
            </w:r>
            <w:r w:rsidRPr="0030529C">
              <w:rPr>
                <w:rFonts w:cstheme="minorHAnsi"/>
                <w:color w:val="000000"/>
              </w:rPr>
              <w:t>95% CI,</w:t>
            </w:r>
            <w:r>
              <w:rPr>
                <w:rFonts w:cstheme="minorHAnsi"/>
                <w:color w:val="000000"/>
              </w:rPr>
              <w:t xml:space="preserve"> 0.90–0.93) in the FORCE registry data. Correlations between the KOOS, JR and KOOS Activity for Daily Living domain</w:t>
            </w:r>
            <w:r w:rsidR="00F51607">
              <w:rPr>
                <w:rFonts w:cstheme="minorHAnsi"/>
                <w:color w:val="000000"/>
              </w:rPr>
              <w:t xml:space="preserve"> were</w:t>
            </w:r>
            <w:r w:rsidR="005C18A7">
              <w:rPr>
                <w:rFonts w:cstheme="minorHAnsi"/>
                <w:color w:val="000000"/>
              </w:rPr>
              <w:t xml:space="preserve"> 0.87 (95% CI, 0.85–0.88) in the </w:t>
            </w:r>
            <w:r w:rsidRPr="0030529C">
              <w:rPr>
                <w:rFonts w:cstheme="minorHAnsi"/>
                <w:color w:val="000000"/>
              </w:rPr>
              <w:t>HSS</w:t>
            </w:r>
            <w:r w:rsidR="005C18A7">
              <w:rPr>
                <w:rFonts w:cstheme="minorHAnsi"/>
                <w:color w:val="000000"/>
              </w:rPr>
              <w:t xml:space="preserve"> data and 0.84 (95% CI, 0.81–0.87) in the FORCE registry data. Correlati</w:t>
            </w:r>
            <w:r w:rsidR="00F51607">
              <w:rPr>
                <w:rFonts w:cstheme="minorHAnsi"/>
                <w:color w:val="000000"/>
              </w:rPr>
              <w:t>ons with the Symptoms domain were</w:t>
            </w:r>
            <w:r w:rsidR="005C18A7">
              <w:rPr>
                <w:rFonts w:cstheme="minorHAnsi"/>
                <w:color w:val="000000"/>
              </w:rPr>
              <w:t xml:space="preserve"> 0.59 (95% CI, 0.55–0.64) in the HSS data and 0.69 (95% CI, 0.64–0.74) in the FORCE registry data. Similarly, correlations between the KOOS, JR and WOMAC Pain were 0.80 (95% CI, 0.77–0.82) in the HSS data and 0.82 (95% CI, 0.79–0.</w:t>
            </w:r>
            <w:r w:rsidR="000F7FA5">
              <w:rPr>
                <w:rFonts w:cstheme="minorHAnsi"/>
                <w:color w:val="000000"/>
              </w:rPr>
              <w:t xml:space="preserve">86) in the FORCE registry data; between KOOS, JR and WOMAC </w:t>
            </w:r>
            <w:r w:rsidR="000F7FA5">
              <w:rPr>
                <w:rFonts w:cstheme="minorHAnsi"/>
                <w:color w:val="000000"/>
              </w:rPr>
              <w:lastRenderedPageBreak/>
              <w:t>Function were 0.87 (</w:t>
            </w:r>
            <w:r w:rsidR="000F7FA5" w:rsidRPr="0030529C">
              <w:rPr>
                <w:rFonts w:cstheme="minorHAnsi"/>
                <w:color w:val="000000"/>
              </w:rPr>
              <w:t>95% CI, 0.85-0.</w:t>
            </w:r>
            <w:r w:rsidR="000F7FA5">
              <w:rPr>
                <w:rFonts w:cstheme="minorHAnsi"/>
                <w:color w:val="000000"/>
              </w:rPr>
              <w:t>88) in the HSS data and 0.84 (</w:t>
            </w:r>
            <w:r w:rsidR="000F7FA5" w:rsidRPr="0030529C">
              <w:rPr>
                <w:rFonts w:cstheme="minorHAnsi"/>
                <w:color w:val="000000"/>
              </w:rPr>
              <w:t>95% CI,</w:t>
            </w:r>
            <w:r w:rsidR="000F7FA5">
              <w:rPr>
                <w:rFonts w:cstheme="minorHAnsi"/>
                <w:color w:val="000000"/>
              </w:rPr>
              <w:t xml:space="preserve"> 0.81–0.87 in the FORCE registry data; and between KOOS, JR and WOMAC Stiffness were 0.72 (95% CI, 0.69–0.75 in the HSS data and 0.76 (</w:t>
            </w:r>
            <w:r w:rsidRPr="0030529C">
              <w:rPr>
                <w:rFonts w:cstheme="minorHAnsi"/>
                <w:color w:val="000000"/>
              </w:rPr>
              <w:t>95% CI, 0.72</w:t>
            </w:r>
            <w:r w:rsidR="000F7FA5">
              <w:rPr>
                <w:rFonts w:cstheme="minorHAnsi"/>
                <w:color w:val="000000"/>
              </w:rPr>
              <w:t>–0.80) in the FORCE registry data (Lyman et al, 2016b).</w:t>
            </w:r>
          </w:p>
          <w:p w14:paraId="0EAD9B35" w14:textId="2C15E34B" w:rsidR="008B2676" w:rsidRDefault="008B2676" w:rsidP="009040EC">
            <w:pPr>
              <w:autoSpaceDE w:val="0"/>
              <w:autoSpaceDN w:val="0"/>
              <w:adjustRightInd w:val="0"/>
              <w:rPr>
                <w:rFonts w:cstheme="minorHAnsi"/>
              </w:rPr>
            </w:pPr>
          </w:p>
          <w:p w14:paraId="19346FEC" w14:textId="427BBE51" w:rsidR="008B2676" w:rsidRPr="008B3738" w:rsidRDefault="0030529C" w:rsidP="008B2676">
            <w:pPr>
              <w:autoSpaceDE w:val="0"/>
              <w:autoSpaceDN w:val="0"/>
              <w:adjustRightInd w:val="0"/>
              <w:rPr>
                <w:rFonts w:cs="PqvltsAdvPTimes"/>
              </w:rPr>
            </w:pPr>
            <w:r>
              <w:rPr>
                <w:rFonts w:cs="PqvltsAdvPTimes"/>
                <w:b/>
              </w:rPr>
              <w:t>Floor and ceiling e</w:t>
            </w:r>
            <w:r w:rsidR="008B2676" w:rsidRPr="00E87599">
              <w:rPr>
                <w:rFonts w:cs="PqvltsAdvPTimes"/>
                <w:b/>
              </w:rPr>
              <w:t>ffects</w:t>
            </w:r>
            <w:r w:rsidR="008B2676">
              <w:rPr>
                <w:rFonts w:cs="PqvltsAdvPTimes"/>
                <w:b/>
              </w:rPr>
              <w:t>:</w:t>
            </w:r>
            <w:r w:rsidR="008B2676" w:rsidRPr="00E87599">
              <w:rPr>
                <w:rFonts w:cs="PqvltsAdvPTimes"/>
              </w:rPr>
              <w:t xml:space="preserve"> Floor</w:t>
            </w:r>
            <w:r w:rsidR="008B2676">
              <w:rPr>
                <w:rFonts w:cs="PqvltsAdvPTimes"/>
              </w:rPr>
              <w:t xml:space="preserve"> effects</w:t>
            </w:r>
            <w:r w:rsidR="00200F5E">
              <w:rPr>
                <w:rFonts w:cs="PqvltsAdvPTimes"/>
              </w:rPr>
              <w:t xml:space="preserve"> for the KOOS, JR</w:t>
            </w:r>
            <w:r w:rsidR="008B2676">
              <w:rPr>
                <w:rFonts w:cs="PqvltsAdvPTimes"/>
              </w:rPr>
              <w:t xml:space="preserve"> </w:t>
            </w:r>
            <w:r w:rsidR="008B2676" w:rsidRPr="00E87599">
              <w:rPr>
                <w:rFonts w:cs="PqvltsAdvPTimes"/>
              </w:rPr>
              <w:t>(percent at worst possible score preoperatively</w:t>
            </w:r>
            <w:r w:rsidR="008B2676">
              <w:rPr>
                <w:rFonts w:cs="PqvltsAdvPTimes"/>
              </w:rPr>
              <w:t xml:space="preserve">) were 0.4 – 1.2% and the ceiling effects (percent at best possible score </w:t>
            </w:r>
            <w:r w:rsidR="008B2676" w:rsidRPr="00E87599">
              <w:rPr>
                <w:rFonts w:cs="PqvltsAdvPTimes"/>
              </w:rPr>
              <w:t xml:space="preserve">postoperatively) </w:t>
            </w:r>
            <w:r w:rsidR="008B2676">
              <w:rPr>
                <w:rFonts w:cs="PqvltsAdvPTimes"/>
              </w:rPr>
              <w:t>were 18.8 – 21.8%</w:t>
            </w:r>
            <w:r w:rsidR="00200F5E">
              <w:rPr>
                <w:rFonts w:cs="PqvltsAdvPTimes"/>
              </w:rPr>
              <w:t xml:space="preserve"> </w:t>
            </w:r>
            <w:r w:rsidR="008B2676">
              <w:rPr>
                <w:rFonts w:cs="PqvltsAdvPTimes"/>
                <w:color w:val="000000"/>
              </w:rPr>
              <w:t>(Lyman et al, 2016b)</w:t>
            </w:r>
            <w:r w:rsidR="008B2676">
              <w:rPr>
                <w:rFonts w:cs="PqvltsAdvPTimes"/>
              </w:rPr>
              <w:t>.</w:t>
            </w:r>
          </w:p>
          <w:p w14:paraId="5EBD7C1A" w14:textId="4DB42242" w:rsidR="008B2676" w:rsidRDefault="008B2676" w:rsidP="009040EC">
            <w:pPr>
              <w:autoSpaceDE w:val="0"/>
              <w:autoSpaceDN w:val="0"/>
              <w:adjustRightInd w:val="0"/>
              <w:rPr>
                <w:rFonts w:cstheme="minorHAnsi"/>
              </w:rPr>
            </w:pPr>
          </w:p>
          <w:p w14:paraId="4B992999" w14:textId="3FF41F09" w:rsidR="00DC29DE" w:rsidRPr="00704126" w:rsidRDefault="00DC29DE" w:rsidP="00DC29DE">
            <w:pPr>
              <w:pStyle w:val="EndNoteBibliography"/>
              <w:ind w:left="720" w:hanging="720"/>
              <w:rPr>
                <w:rFonts w:asciiTheme="minorHAnsi" w:hAnsiTheme="minorHAnsi"/>
                <w:b/>
                <w:u w:val="single"/>
              </w:rPr>
            </w:pPr>
            <w:r w:rsidRPr="00704126">
              <w:rPr>
                <w:rFonts w:asciiTheme="minorHAnsi" w:hAnsiTheme="minorHAnsi"/>
                <w:b/>
                <w:u w:val="single"/>
              </w:rPr>
              <w:t>Empirical Measure Score Validity</w:t>
            </w:r>
          </w:p>
          <w:p w14:paraId="4717D678" w14:textId="37B30E89" w:rsidR="00DC29DE" w:rsidRDefault="000C003F" w:rsidP="00DC29DE">
            <w:pPr>
              <w:pStyle w:val="NormalWeb"/>
              <w:shd w:val="clear" w:color="auto" w:fill="FFFFFF"/>
              <w:spacing w:before="0" w:beforeAutospacing="0" w:after="0" w:afterAutospacing="0"/>
              <w:rPr>
                <w:rFonts w:asciiTheme="minorHAnsi" w:hAnsiTheme="minorHAnsi"/>
                <w:sz w:val="22"/>
                <w:szCs w:val="22"/>
              </w:rPr>
            </w:pPr>
            <w:r>
              <w:rPr>
                <w:rFonts w:asciiTheme="minorHAnsi" w:hAnsiTheme="minorHAnsi"/>
                <w:sz w:val="22"/>
                <w:szCs w:val="22"/>
              </w:rPr>
              <w:t>Comparison of</w:t>
            </w:r>
            <w:r w:rsidR="00DC29DE" w:rsidRPr="000C003F">
              <w:rPr>
                <w:rFonts w:asciiTheme="minorHAnsi" w:hAnsiTheme="minorHAnsi"/>
                <w:sz w:val="22"/>
                <w:szCs w:val="22"/>
              </w:rPr>
              <w:t xml:space="preserve"> THA/TKA PRO-PM RSIRs to RSCR categories</w:t>
            </w:r>
            <w:r>
              <w:rPr>
                <w:rFonts w:asciiTheme="minorHAnsi" w:hAnsiTheme="minorHAnsi"/>
                <w:sz w:val="22"/>
                <w:szCs w:val="22"/>
              </w:rPr>
              <w:t xml:space="preserve"> indicates</w:t>
            </w:r>
            <w:r w:rsidR="00DC29DE" w:rsidRPr="000C003F">
              <w:rPr>
                <w:rFonts w:asciiTheme="minorHAnsi" w:hAnsiTheme="minorHAnsi"/>
                <w:sz w:val="22"/>
                <w:szCs w:val="22"/>
              </w:rPr>
              <w:t xml:space="preserve"> an increasing monotonic trend. </w:t>
            </w:r>
            <w:r>
              <w:rPr>
                <w:rFonts w:asciiTheme="minorHAnsi" w:hAnsiTheme="minorHAnsi"/>
                <w:sz w:val="22"/>
                <w:szCs w:val="22"/>
              </w:rPr>
              <w:t>T</w:t>
            </w:r>
            <w:r w:rsidR="00DC29DE" w:rsidRPr="000C003F">
              <w:rPr>
                <w:rFonts w:asciiTheme="minorHAnsi" w:hAnsiTheme="minorHAnsi"/>
                <w:sz w:val="22"/>
                <w:szCs w:val="22"/>
              </w:rPr>
              <w:t>hose hospitals in the “RSCR Worse than National Average” category have lower median RSIR</w:t>
            </w:r>
            <w:r>
              <w:rPr>
                <w:rFonts w:asciiTheme="minorHAnsi" w:hAnsiTheme="minorHAnsi"/>
                <w:sz w:val="22"/>
                <w:szCs w:val="22"/>
              </w:rPr>
              <w:t>s</w:t>
            </w:r>
            <w:r w:rsidR="00DC29DE" w:rsidRPr="000C003F">
              <w:rPr>
                <w:rFonts w:asciiTheme="minorHAnsi" w:hAnsiTheme="minorHAnsi"/>
                <w:sz w:val="22"/>
                <w:szCs w:val="22"/>
              </w:rPr>
              <w:t xml:space="preserve"> (51.87%) than the median RSIR (66.49%) of hospitals in the "RSCR Same as National Average" category</w:t>
            </w:r>
            <w:r>
              <w:rPr>
                <w:rFonts w:asciiTheme="minorHAnsi" w:hAnsiTheme="minorHAnsi"/>
                <w:sz w:val="22"/>
                <w:szCs w:val="22"/>
              </w:rPr>
              <w:t>,</w:t>
            </w:r>
            <w:r w:rsidR="00DC29DE" w:rsidRPr="000C003F">
              <w:rPr>
                <w:rFonts w:asciiTheme="minorHAnsi" w:hAnsiTheme="minorHAnsi"/>
                <w:sz w:val="22"/>
                <w:szCs w:val="22"/>
              </w:rPr>
              <w:t xml:space="preserve"> which </w:t>
            </w:r>
            <w:r w:rsidR="00F04509">
              <w:rPr>
                <w:rFonts w:asciiTheme="minorHAnsi" w:hAnsiTheme="minorHAnsi"/>
                <w:sz w:val="22"/>
                <w:szCs w:val="22"/>
              </w:rPr>
              <w:t>is lower</w:t>
            </w:r>
            <w:r w:rsidR="00DC29DE" w:rsidRPr="000C003F">
              <w:rPr>
                <w:rFonts w:asciiTheme="minorHAnsi" w:hAnsiTheme="minorHAnsi"/>
                <w:sz w:val="22"/>
                <w:szCs w:val="22"/>
              </w:rPr>
              <w:t xml:space="preserve"> than</w:t>
            </w:r>
            <w:r w:rsidR="00F04509">
              <w:rPr>
                <w:rFonts w:asciiTheme="minorHAnsi" w:hAnsiTheme="minorHAnsi"/>
                <w:sz w:val="22"/>
                <w:szCs w:val="22"/>
              </w:rPr>
              <w:t xml:space="preserve"> that of</w:t>
            </w:r>
            <w:r w:rsidR="00DC29DE" w:rsidRPr="000C003F">
              <w:rPr>
                <w:rFonts w:asciiTheme="minorHAnsi" w:hAnsiTheme="minorHAnsi"/>
                <w:sz w:val="22"/>
                <w:szCs w:val="22"/>
              </w:rPr>
              <w:t xml:space="preserve"> hospitals in the "RSCR Better than National Average" category</w:t>
            </w:r>
            <w:r w:rsidR="00F04509">
              <w:rPr>
                <w:rFonts w:asciiTheme="minorHAnsi" w:hAnsiTheme="minorHAnsi"/>
                <w:sz w:val="22"/>
                <w:szCs w:val="22"/>
              </w:rPr>
              <w:t xml:space="preserve"> (71.13%)</w:t>
            </w:r>
            <w:r w:rsidR="00DC29DE" w:rsidRPr="000C003F">
              <w:rPr>
                <w:rFonts w:asciiTheme="minorHAnsi" w:hAnsiTheme="minorHAnsi"/>
                <w:sz w:val="22"/>
                <w:szCs w:val="22"/>
              </w:rPr>
              <w:t>. The hospitals with lower risk-adjusted complication rates have higher risk-adjusted THA/TKA improvement rates</w:t>
            </w:r>
            <w:r w:rsidR="00BF1BE9">
              <w:rPr>
                <w:rFonts w:asciiTheme="minorHAnsi" w:hAnsiTheme="minorHAnsi"/>
                <w:sz w:val="22"/>
                <w:szCs w:val="22"/>
              </w:rPr>
              <w:t xml:space="preserve"> (Figure 1)</w:t>
            </w:r>
            <w:r w:rsidR="00DC29DE" w:rsidRPr="000C003F">
              <w:rPr>
                <w:rFonts w:asciiTheme="minorHAnsi" w:hAnsiTheme="minorHAnsi"/>
                <w:sz w:val="22"/>
                <w:szCs w:val="22"/>
              </w:rPr>
              <w:t>.</w:t>
            </w:r>
          </w:p>
          <w:p w14:paraId="62F09367" w14:textId="77777777" w:rsidR="000C003F" w:rsidRDefault="000C003F" w:rsidP="00DC29DE">
            <w:pPr>
              <w:pStyle w:val="NormalWeb"/>
              <w:shd w:val="clear" w:color="auto" w:fill="FFFFFF"/>
              <w:spacing w:before="0" w:beforeAutospacing="0" w:after="0" w:afterAutospacing="0"/>
              <w:rPr>
                <w:rFonts w:asciiTheme="minorHAnsi" w:hAnsiTheme="minorHAnsi"/>
                <w:sz w:val="22"/>
                <w:szCs w:val="22"/>
              </w:rPr>
            </w:pPr>
          </w:p>
          <w:p w14:paraId="2E442DC3" w14:textId="77777777" w:rsidR="00E87782" w:rsidRDefault="00E87782" w:rsidP="00E87782">
            <w:pPr>
              <w:pStyle w:val="NormalWeb"/>
              <w:shd w:val="clear" w:color="auto" w:fill="FFFFFF"/>
              <w:spacing w:before="0" w:beforeAutospacing="0" w:after="0" w:afterAutospacing="0"/>
              <w:rPr>
                <w:rFonts w:asciiTheme="minorHAnsi" w:hAnsiTheme="minorHAnsi"/>
                <w:sz w:val="22"/>
                <w:szCs w:val="22"/>
              </w:rPr>
            </w:pPr>
          </w:p>
          <w:p w14:paraId="58EA7493" w14:textId="77777777" w:rsidR="00532CA8" w:rsidRPr="000C4B23" w:rsidRDefault="00532CA8" w:rsidP="00532CA8">
            <w:pPr>
              <w:pStyle w:val="EndNoteBibliography"/>
              <w:spacing w:before="120" w:after="120"/>
              <w:ind w:left="720" w:hanging="720"/>
              <w:rPr>
                <w:u w:val="single"/>
              </w:rPr>
            </w:pPr>
            <w:r w:rsidRPr="00704360">
              <w:rPr>
                <w:u w:val="single"/>
              </w:rPr>
              <w:t xml:space="preserve">References:  </w:t>
            </w:r>
          </w:p>
          <w:p w14:paraId="35871E0B" w14:textId="77777777" w:rsidR="00532CA8" w:rsidRDefault="00532CA8" w:rsidP="00532CA8">
            <w:pPr>
              <w:pStyle w:val="EndNoteBibliography"/>
              <w:spacing w:before="120" w:after="120"/>
            </w:pPr>
            <w:r w:rsidRPr="00E55980">
              <w:t>Lyman S, Lee Y-Y, Franklin PD, Li W, Mayman DJ, Padgett DE. Validatio</w:t>
            </w:r>
            <w:r>
              <w:t xml:space="preserve">n of the HOOS, JR: A Short-form </w:t>
            </w:r>
            <w:r w:rsidRPr="00E55980">
              <w:t xml:space="preserve">Hip Replacement Survey. </w:t>
            </w:r>
            <w:r w:rsidRPr="00E55980">
              <w:rPr>
                <w:i/>
              </w:rPr>
              <w:t xml:space="preserve">Clinical Orthopaedics and Related Research®. </w:t>
            </w:r>
            <w:r w:rsidRPr="00E55980">
              <w:t>2016;474(6):1472-1482.</w:t>
            </w:r>
          </w:p>
          <w:p w14:paraId="089C6923" w14:textId="5BAE78ED" w:rsidR="00E87782" w:rsidRDefault="00532CA8" w:rsidP="00532CA8">
            <w:pPr>
              <w:autoSpaceDE w:val="0"/>
              <w:autoSpaceDN w:val="0"/>
              <w:adjustRightInd w:val="0"/>
              <w:spacing w:before="120" w:after="120"/>
            </w:pPr>
            <w:r w:rsidRPr="00E55980">
              <w:t xml:space="preserve">Lyman S, Lee Y-Y, Franklin PD, Li W, Cross MB, Padgett DE. Validation of the KOOS, JR: A Short-form Knee Arthroplasty Outcomes Survey. </w:t>
            </w:r>
            <w:r w:rsidRPr="00E55980">
              <w:rPr>
                <w:i/>
              </w:rPr>
              <w:t xml:space="preserve">Clinical Orthopaedics and Related Research®. </w:t>
            </w:r>
            <w:r w:rsidRPr="00E55980">
              <w:t>2016;474(6):1461-1471.</w:t>
            </w:r>
          </w:p>
          <w:p w14:paraId="21BB4C96" w14:textId="08302C2E" w:rsidR="00E87782" w:rsidRPr="00E87782" w:rsidRDefault="00E87782" w:rsidP="00E87782">
            <w:pPr>
              <w:pStyle w:val="NormalWeb"/>
              <w:shd w:val="clear" w:color="auto" w:fill="FFFFFF"/>
              <w:spacing w:before="0" w:beforeAutospacing="0" w:after="0" w:afterAutospacing="0"/>
            </w:pPr>
          </w:p>
        </w:tc>
      </w:tr>
    </w:tbl>
    <w:p w14:paraId="0CABCFDE" w14:textId="4D0FFB20" w:rsidR="007422FD" w:rsidRDefault="007422FD" w:rsidP="00092566">
      <w:pPr>
        <w:autoSpaceDE w:val="0"/>
        <w:autoSpaceDN w:val="0"/>
        <w:adjustRightInd w:val="0"/>
        <w:spacing w:after="0" w:line="240" w:lineRule="auto"/>
        <w:rPr>
          <w:rFonts w:cstheme="minorHAnsi"/>
          <w:bCs/>
        </w:rPr>
      </w:pPr>
    </w:p>
    <w:p w14:paraId="5FF15378" w14:textId="386B3E65" w:rsidR="007635C2" w:rsidRDefault="007635C2" w:rsidP="00751A23">
      <w:pPr>
        <w:spacing w:before="4440"/>
        <w:rPr>
          <w:b/>
        </w:rPr>
      </w:pPr>
    </w:p>
    <w:p w14:paraId="6DF6E78F" w14:textId="3DBEE8AF" w:rsidR="00DC29DE" w:rsidRDefault="000C003F" w:rsidP="00FE07FD">
      <w:pPr>
        <w:spacing w:before="480"/>
        <w:rPr>
          <w:rFonts w:cstheme="minorHAnsi"/>
          <w:bCs/>
        </w:rPr>
      </w:pPr>
      <w:r>
        <w:rPr>
          <w:b/>
        </w:rPr>
        <w:lastRenderedPageBreak/>
        <w:t>Figure 1</w:t>
      </w:r>
      <w:r w:rsidR="00DC29DE" w:rsidRPr="00704360">
        <w:rPr>
          <w:b/>
        </w:rPr>
        <w:t>.</w:t>
      </w:r>
      <w:r w:rsidR="00DC29DE">
        <w:rPr>
          <w:b/>
        </w:rPr>
        <w:t xml:space="preserve"> </w:t>
      </w:r>
      <w:r>
        <w:rPr>
          <w:b/>
        </w:rPr>
        <w:t xml:space="preserve">Range of THA/TKA PRO-PM RSIRs by THA/TKA RSCR National Categories within Hospitals Submitting Complete PRO Data (Hospitals with </w:t>
      </w:r>
      <w:r w:rsidRPr="000C003F">
        <w:rPr>
          <w:b/>
          <w:u w:val="single"/>
        </w:rPr>
        <w:t>&gt;</w:t>
      </w:r>
      <w:r>
        <w:rPr>
          <w:b/>
        </w:rPr>
        <w:t>25 THA/TKA Procedures, N=123)</w:t>
      </w:r>
    </w:p>
    <w:p w14:paraId="71FD5ECC" w14:textId="235093A3" w:rsidR="00DC29DE" w:rsidRPr="00E04B9E" w:rsidRDefault="00DC29DE" w:rsidP="00DB3627">
      <w:pPr>
        <w:autoSpaceDE w:val="0"/>
        <w:autoSpaceDN w:val="0"/>
        <w:adjustRightInd w:val="0"/>
        <w:spacing w:after="0" w:line="240" w:lineRule="auto"/>
        <w:rPr>
          <w:rFonts w:cstheme="minorHAnsi"/>
          <w:bCs/>
        </w:rPr>
      </w:pPr>
      <w:r>
        <w:rPr>
          <w:rFonts w:ascii="Calibri" w:eastAsia="Times New Roman" w:hAnsi="Calibri"/>
          <w:noProof/>
          <w:color w:val="000000"/>
        </w:rPr>
        <w:drawing>
          <wp:inline distT="0" distB="0" distL="0" distR="0" wp14:anchorId="7B6C8196" wp14:editId="4F89F8F9">
            <wp:extent cx="4407408" cy="3813048"/>
            <wp:effectExtent l="19050" t="19050" r="12700" b="16510"/>
            <wp:docPr id="2" name="Picture 2" descr="cid:e0ddc428-f58a-48cb-b189-c84eca8d4a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e0ddc428-f58a-48cb-b189-c84eca8d4aa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07408" cy="3813048"/>
                    </a:xfrm>
                    <a:prstGeom prst="rect">
                      <a:avLst/>
                    </a:prstGeom>
                    <a:noFill/>
                    <a:ln w="3175">
                      <a:solidFill>
                        <a:schemeClr val="tx1"/>
                      </a:solidFill>
                    </a:ln>
                  </pic:spPr>
                </pic:pic>
              </a:graphicData>
            </a:graphic>
          </wp:inline>
        </w:drawing>
      </w:r>
    </w:p>
    <w:p w14:paraId="202AA761" w14:textId="77777777" w:rsidR="00DC29DE" w:rsidRDefault="00DC29DE" w:rsidP="00DB3627">
      <w:pPr>
        <w:autoSpaceDE w:val="0"/>
        <w:autoSpaceDN w:val="0"/>
        <w:adjustRightInd w:val="0"/>
        <w:spacing w:after="0" w:line="240" w:lineRule="auto"/>
        <w:rPr>
          <w:rFonts w:cstheme="minorHAnsi"/>
          <w:b/>
          <w:bCs/>
        </w:rPr>
      </w:pPr>
    </w:p>
    <w:p w14:paraId="1F64040A" w14:textId="77777777" w:rsidR="00DC29DE" w:rsidRDefault="00DC29DE" w:rsidP="00DB3627">
      <w:pPr>
        <w:autoSpaceDE w:val="0"/>
        <w:autoSpaceDN w:val="0"/>
        <w:adjustRightInd w:val="0"/>
        <w:spacing w:after="0" w:line="240" w:lineRule="auto"/>
        <w:rPr>
          <w:rFonts w:cstheme="minorHAnsi"/>
          <w:b/>
          <w:bCs/>
        </w:rPr>
      </w:pPr>
    </w:p>
    <w:p w14:paraId="5B3C6B24" w14:textId="4EA40556" w:rsidR="00394224"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3B6A6FE7" w14:textId="77777777" w:rsidTr="00062A58">
        <w:tc>
          <w:tcPr>
            <w:tcW w:w="9350" w:type="dxa"/>
          </w:tcPr>
          <w:p w14:paraId="7E5443C9" w14:textId="2238FE38" w:rsidR="00394224" w:rsidRPr="00015F44" w:rsidRDefault="00E87782" w:rsidP="00062A58">
            <w:pPr>
              <w:autoSpaceDE w:val="0"/>
              <w:autoSpaceDN w:val="0"/>
              <w:adjustRightInd w:val="0"/>
              <w:rPr>
                <w:rFonts w:cstheme="minorHAnsi"/>
                <w:b/>
                <w:bCs/>
                <w:u w:val="single"/>
              </w:rPr>
            </w:pPr>
            <w:r w:rsidRPr="00015F44">
              <w:rPr>
                <w:rFonts w:cstheme="minorHAnsi"/>
                <w:b/>
                <w:bCs/>
                <w:u w:val="single"/>
              </w:rPr>
              <w:t>Data Element Validity</w:t>
            </w:r>
          </w:p>
          <w:p w14:paraId="3F586BF6" w14:textId="75893854" w:rsidR="009040EC" w:rsidRPr="00E12163" w:rsidRDefault="00E87782" w:rsidP="009040EC">
            <w:pPr>
              <w:autoSpaceDE w:val="0"/>
              <w:autoSpaceDN w:val="0"/>
              <w:adjustRightInd w:val="0"/>
              <w:rPr>
                <w:rFonts w:cs="PqvltsAdvPTimes"/>
              </w:rPr>
            </w:pPr>
            <w:r>
              <w:rPr>
                <w:rFonts w:cstheme="minorHAnsi"/>
                <w:bCs/>
              </w:rPr>
              <w:t xml:space="preserve">The validity results </w:t>
            </w:r>
            <w:r w:rsidR="000F68C3">
              <w:rPr>
                <w:rFonts w:cstheme="minorHAnsi"/>
                <w:bCs/>
              </w:rPr>
              <w:t xml:space="preserve">from the literature </w:t>
            </w:r>
            <w:r>
              <w:rPr>
                <w:rFonts w:cstheme="minorHAnsi"/>
                <w:bCs/>
              </w:rPr>
              <w:t>demonstrate that the HOOS, JR and the KOOS, JR PROM instruments are valid and meaningful measures for assessing patient-reported outcomes following THA/TKA procedures.</w:t>
            </w:r>
            <w:r w:rsidR="009040EC">
              <w:rPr>
                <w:rFonts w:cstheme="minorHAnsi"/>
                <w:bCs/>
              </w:rPr>
              <w:t xml:space="preserve"> </w:t>
            </w:r>
            <w:r w:rsidR="00704126" w:rsidRPr="00E87599">
              <w:rPr>
                <w:rFonts w:cs="PqvltsAdvPTimes"/>
              </w:rPr>
              <w:t xml:space="preserve">The HOOS, JR </w:t>
            </w:r>
            <w:r w:rsidR="009040EC">
              <w:rPr>
                <w:rFonts w:cs="PqvltsAdvPTimes"/>
              </w:rPr>
              <w:t xml:space="preserve">and the KOOS, JR </w:t>
            </w:r>
            <w:r w:rsidR="00704126" w:rsidRPr="00E87599">
              <w:rPr>
                <w:rFonts w:cs="PqvltsAdvPTimes"/>
              </w:rPr>
              <w:t>showed very high responsiveness</w:t>
            </w:r>
            <w:r w:rsidR="009040EC">
              <w:rPr>
                <w:rFonts w:cs="PqvltsAdvPTimes"/>
              </w:rPr>
              <w:t>, well beyond the 0.8 standardized response me</w:t>
            </w:r>
            <w:r w:rsidR="007635C2">
              <w:rPr>
                <w:rFonts w:cs="PqvltsAdvPTimes"/>
              </w:rPr>
              <w:t>an value considered “very large</w:t>
            </w:r>
            <w:r w:rsidR="009040EC">
              <w:rPr>
                <w:rFonts w:cs="PqvltsAdvPTimes"/>
              </w:rPr>
              <w:t xml:space="preserve">” </w:t>
            </w:r>
            <w:r w:rsidR="009040EC">
              <w:rPr>
                <w:rFonts w:cs="PqvltsAdvPTimes"/>
                <w:color w:val="000000"/>
              </w:rPr>
              <w:t>(Steiner and Norman, 2003)</w:t>
            </w:r>
            <w:r w:rsidR="007635C2">
              <w:rPr>
                <w:rFonts w:cs="PqvltsAdvPTimes"/>
                <w:color w:val="000000"/>
              </w:rPr>
              <w:t xml:space="preserve">. Spearman correlation values between the HOOS, JR and the HOOS domains from which the HOOS, JR questions were drawn (Pain and Activity of Daily Living domains) were high; likewise, Spearman correlation values between the KOOS, JR and the KOOS Pain and Activity of Daily Living domains were high, and </w:t>
            </w:r>
            <w:r w:rsidR="00E12163">
              <w:rPr>
                <w:rFonts w:cs="PqvltsAdvPTimes"/>
                <w:color w:val="000000"/>
              </w:rPr>
              <w:t xml:space="preserve">were moderate </w:t>
            </w:r>
            <w:r w:rsidR="007635C2">
              <w:rPr>
                <w:rFonts w:cs="PqvltsAdvPTimes"/>
                <w:color w:val="000000"/>
              </w:rPr>
              <w:t>between the KOOS, JR and the Symptom domain.</w:t>
            </w:r>
            <w:r w:rsidR="00E12163">
              <w:rPr>
                <w:rFonts w:cs="PqvltsAdvPTimes"/>
                <w:color w:val="000000"/>
              </w:rPr>
              <w:t xml:space="preserve"> Floor effects were small; ceiling effects for the HOOS, JR were </w:t>
            </w:r>
            <w:r w:rsidR="00E12163">
              <w:rPr>
                <w:rFonts w:cs="PqvltsAdvPTimes"/>
              </w:rPr>
              <w:t xml:space="preserve">37%–46%, but were comparable to or </w:t>
            </w:r>
            <w:r w:rsidR="00E12163" w:rsidRPr="00E87599">
              <w:rPr>
                <w:rFonts w:cs="PqvltsAdvPTimes"/>
              </w:rPr>
              <w:t xml:space="preserve">better than HOOS </w:t>
            </w:r>
            <w:r w:rsidR="00E12163">
              <w:rPr>
                <w:rFonts w:cs="PqvltsAdvPTimes"/>
              </w:rPr>
              <w:t xml:space="preserve">domains </w:t>
            </w:r>
            <w:r w:rsidR="00E12163" w:rsidRPr="00E87599">
              <w:rPr>
                <w:rFonts w:cs="PqvltsAdvPTimes"/>
              </w:rPr>
              <w:t xml:space="preserve">and </w:t>
            </w:r>
            <w:r w:rsidR="00E12163">
              <w:rPr>
                <w:rFonts w:cs="PqvltsAdvPTimes"/>
              </w:rPr>
              <w:t>the WOMAC (Lyman et al, 2016a; Lyman et al, 2016b).</w:t>
            </w:r>
          </w:p>
          <w:p w14:paraId="725FDA5A" w14:textId="2ED51376" w:rsidR="00704126" w:rsidRPr="00E87599" w:rsidRDefault="009040EC" w:rsidP="00704126">
            <w:pPr>
              <w:autoSpaceDE w:val="0"/>
              <w:autoSpaceDN w:val="0"/>
              <w:adjustRightInd w:val="0"/>
              <w:rPr>
                <w:rFonts w:cs="PqvltsAdvPTimes"/>
                <w:color w:val="000000"/>
              </w:rPr>
            </w:pPr>
            <w:r>
              <w:rPr>
                <w:rFonts w:cs="PqvltsAdvPTimes"/>
              </w:rPr>
              <w:t xml:space="preserve"> </w:t>
            </w:r>
          </w:p>
          <w:p w14:paraId="25C6AB4B" w14:textId="6053091E" w:rsidR="00E87782" w:rsidRPr="00015F44" w:rsidRDefault="00E87782" w:rsidP="00062A58">
            <w:pPr>
              <w:autoSpaceDE w:val="0"/>
              <w:autoSpaceDN w:val="0"/>
              <w:adjustRightInd w:val="0"/>
              <w:rPr>
                <w:rFonts w:cstheme="minorHAnsi"/>
                <w:b/>
                <w:bCs/>
                <w:u w:val="single"/>
              </w:rPr>
            </w:pPr>
            <w:r w:rsidRPr="00704126">
              <w:rPr>
                <w:rFonts w:cstheme="minorHAnsi"/>
                <w:b/>
                <w:bCs/>
                <w:u w:val="single"/>
              </w:rPr>
              <w:t xml:space="preserve">Empirical </w:t>
            </w:r>
            <w:r w:rsidR="00015F44">
              <w:rPr>
                <w:rFonts w:cstheme="minorHAnsi"/>
                <w:b/>
                <w:bCs/>
                <w:u w:val="single"/>
              </w:rPr>
              <w:t xml:space="preserve">Measure Score </w:t>
            </w:r>
            <w:r w:rsidRPr="00704126">
              <w:rPr>
                <w:rFonts w:cstheme="minorHAnsi"/>
                <w:b/>
                <w:bCs/>
                <w:u w:val="single"/>
              </w:rPr>
              <w:t>Validity</w:t>
            </w:r>
          </w:p>
          <w:p w14:paraId="0A2109B7" w14:textId="08D530AE" w:rsidR="00E87782" w:rsidRPr="00CB56D4" w:rsidRDefault="00E87782" w:rsidP="00E87782">
            <w:pPr>
              <w:autoSpaceDE w:val="0"/>
              <w:autoSpaceDN w:val="0"/>
              <w:adjustRightInd w:val="0"/>
              <w:rPr>
                <w:rFonts w:cstheme="minorHAnsi"/>
                <w:bCs/>
              </w:rPr>
            </w:pPr>
            <w:r>
              <w:rPr>
                <w:rFonts w:cstheme="minorHAnsi"/>
                <w:bCs/>
              </w:rPr>
              <w:t xml:space="preserve">As these outcomes are not clinically expected to be perfectly correlated but do reflect hospital-level care and processes impacting quality of care for patients experiencing elective primary THA/TKA surgery, we interpret the </w:t>
            </w:r>
            <w:r w:rsidRPr="000C003F">
              <w:t>increasing monotonic trend</w:t>
            </w:r>
            <w:r>
              <w:rPr>
                <w:rFonts w:cstheme="minorHAnsi"/>
                <w:bCs/>
              </w:rPr>
              <w:t xml:space="preserve"> between RSIRs and RSCR national categories as reflective of empiric measure validity. As NQF is aware, empiric validation of novel outcome measures is challenging as there is rarely, if ever, a “gold standard” against which to compare the measure.</w:t>
            </w:r>
          </w:p>
          <w:p w14:paraId="6FCC234B" w14:textId="77777777" w:rsidR="00E87782" w:rsidRPr="00E87782" w:rsidRDefault="00E87782" w:rsidP="00062A58">
            <w:pPr>
              <w:autoSpaceDE w:val="0"/>
              <w:autoSpaceDN w:val="0"/>
              <w:adjustRightInd w:val="0"/>
              <w:rPr>
                <w:rFonts w:cstheme="minorHAnsi"/>
                <w:bCs/>
              </w:rPr>
            </w:pPr>
          </w:p>
          <w:p w14:paraId="7F7D6DA0" w14:textId="26DF1C22" w:rsidR="00E87782" w:rsidRDefault="00E87782" w:rsidP="00062A58">
            <w:pPr>
              <w:autoSpaceDE w:val="0"/>
              <w:autoSpaceDN w:val="0"/>
              <w:adjustRightInd w:val="0"/>
              <w:rPr>
                <w:rFonts w:cstheme="minorHAnsi"/>
                <w:bCs/>
              </w:rPr>
            </w:pPr>
          </w:p>
          <w:p w14:paraId="5F4F5E6D" w14:textId="552D8F4D" w:rsidR="00532CA8" w:rsidRPr="00532CA8" w:rsidRDefault="00532CA8" w:rsidP="00532CA8">
            <w:pPr>
              <w:autoSpaceDE w:val="0"/>
              <w:autoSpaceDN w:val="0"/>
              <w:adjustRightInd w:val="0"/>
              <w:rPr>
                <w:rFonts w:cstheme="minorHAnsi"/>
                <w:bCs/>
                <w:u w:val="single"/>
              </w:rPr>
            </w:pPr>
            <w:r>
              <w:rPr>
                <w:rFonts w:cstheme="minorHAnsi"/>
                <w:bCs/>
                <w:u w:val="single"/>
              </w:rPr>
              <w:t>References:</w:t>
            </w:r>
            <w:r w:rsidRPr="00704360">
              <w:rPr>
                <w:u w:val="single"/>
              </w:rPr>
              <w:t xml:space="preserve"> </w:t>
            </w:r>
          </w:p>
          <w:p w14:paraId="02E6530B" w14:textId="77777777" w:rsidR="00532CA8" w:rsidRDefault="00532CA8" w:rsidP="00532CA8">
            <w:pPr>
              <w:pStyle w:val="EndNoteBibliography"/>
              <w:spacing w:before="120" w:after="120"/>
            </w:pPr>
            <w:r w:rsidRPr="00E55980">
              <w:t>Lyman S, Lee Y-Y, Franklin PD, Li W, Mayman DJ, Padgett DE. Validatio</w:t>
            </w:r>
            <w:r>
              <w:t xml:space="preserve">n of the HOOS, JR: A Short-form </w:t>
            </w:r>
            <w:r w:rsidRPr="00E55980">
              <w:t xml:space="preserve">Hip Replacement Survey. </w:t>
            </w:r>
            <w:r w:rsidRPr="00E55980">
              <w:rPr>
                <w:i/>
              </w:rPr>
              <w:t xml:space="preserve">Clinical Orthopaedics and Related Research®. </w:t>
            </w:r>
            <w:r w:rsidRPr="00E55980">
              <w:t>2016;474(6):1472-1482.</w:t>
            </w:r>
          </w:p>
          <w:p w14:paraId="590C7F7F" w14:textId="77777777" w:rsidR="00532CA8" w:rsidRDefault="00532CA8" w:rsidP="00532CA8">
            <w:pPr>
              <w:autoSpaceDE w:val="0"/>
              <w:autoSpaceDN w:val="0"/>
              <w:adjustRightInd w:val="0"/>
              <w:spacing w:before="120" w:after="120"/>
            </w:pPr>
            <w:r w:rsidRPr="00E55980">
              <w:t xml:space="preserve">Lyman S, Lee Y-Y, Franklin PD, Li W, Cross MB, Padgett DE. Validation of the KOOS, JR: A Short-form Knee Arthroplasty Outcomes Survey. </w:t>
            </w:r>
            <w:r w:rsidRPr="00E55980">
              <w:rPr>
                <w:i/>
              </w:rPr>
              <w:t xml:space="preserve">Clinical Orthopaedics and Related Research®. </w:t>
            </w:r>
            <w:r w:rsidRPr="00E55980">
              <w:t>2016;474(6):1461-1471.</w:t>
            </w:r>
          </w:p>
          <w:p w14:paraId="114DFA19" w14:textId="77804FB8" w:rsidR="009040EC" w:rsidRPr="00E87782" w:rsidRDefault="009040EC" w:rsidP="00062A58">
            <w:pPr>
              <w:autoSpaceDE w:val="0"/>
              <w:autoSpaceDN w:val="0"/>
              <w:adjustRightInd w:val="0"/>
              <w:rPr>
                <w:rFonts w:cstheme="minorHAnsi"/>
                <w:bCs/>
              </w:rPr>
            </w:pPr>
            <w:r>
              <w:t>Steiner DL, Norman GR. (2003). Health Measurement Scales: A Practical Guide to Their Development and Use. London, UK: Oxford University Press.</w:t>
            </w:r>
          </w:p>
          <w:p w14:paraId="37E731B3" w14:textId="4F841550" w:rsidR="00E87782" w:rsidRPr="00E87782" w:rsidRDefault="00E87782" w:rsidP="00062A58">
            <w:pPr>
              <w:autoSpaceDE w:val="0"/>
              <w:autoSpaceDN w:val="0"/>
              <w:adjustRightInd w:val="0"/>
              <w:rPr>
                <w:rFonts w:cstheme="minorHAnsi"/>
                <w:bCs/>
                <w:u w:val="single"/>
              </w:rPr>
            </w:pPr>
          </w:p>
        </w:tc>
      </w:tr>
    </w:tbl>
    <w:p w14:paraId="0CABCFDF" w14:textId="65BE93E3"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503FA71D"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16651D">
        <w:rPr>
          <w:rFonts w:cstheme="minorHAnsi"/>
          <w:b/>
          <w:bCs/>
          <w:i/>
        </w:rPr>
        <w:t xml:space="preserve">skip </w:t>
      </w:r>
      <w:r w:rsidR="008A4C13" w:rsidRPr="0016651D">
        <w:rPr>
          <w:rFonts w:cstheme="minorHAnsi"/>
          <w:b/>
          <w:bCs/>
          <w:i/>
        </w:rPr>
        <w:t xml:space="preserve">to </w:t>
      </w:r>
      <w:r w:rsidR="00BE592D" w:rsidRPr="0016651D">
        <w:rPr>
          <w:rFonts w:cstheme="minorHAnsi"/>
          <w:b/>
          <w:bCs/>
          <w:i/>
        </w:rPr>
        <w:t xml:space="preserve">section </w:t>
      </w:r>
      <w:hyperlink w:anchor="section2b4" w:history="1">
        <w:r w:rsidR="00483E94" w:rsidRPr="0016651D">
          <w:rPr>
            <w:rStyle w:val="Hyperlink"/>
            <w:rFonts w:cstheme="minorHAnsi"/>
            <w:b/>
            <w:bCs/>
            <w:i/>
          </w:rPr>
          <w:t>2b</w:t>
        </w:r>
        <w:r w:rsidR="00565946" w:rsidRPr="0016651D">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9E3B718" w14:textId="55FF09CE" w:rsidR="00394224"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394224">
        <w:rPr>
          <w:rFonts w:cstheme="minorHAnsi"/>
          <w:bCs/>
        </w:rPr>
        <w:t>)</w:t>
      </w:r>
    </w:p>
    <w:tbl>
      <w:tblPr>
        <w:tblStyle w:val="TableGrid"/>
        <w:tblW w:w="0" w:type="auto"/>
        <w:tblLook w:val="04A0" w:firstRow="1" w:lastRow="0" w:firstColumn="1" w:lastColumn="0" w:noHBand="0" w:noVBand="1"/>
      </w:tblPr>
      <w:tblGrid>
        <w:gridCol w:w="9350"/>
      </w:tblGrid>
      <w:tr w:rsidR="00394224" w14:paraId="6B57DF58" w14:textId="77777777" w:rsidTr="00062A58">
        <w:tc>
          <w:tcPr>
            <w:tcW w:w="9350" w:type="dxa"/>
          </w:tcPr>
          <w:p w14:paraId="1FF3E9AA" w14:textId="44BF1125" w:rsidR="00394224" w:rsidRDefault="00F1451C" w:rsidP="006C01F2">
            <w:pPr>
              <w:autoSpaceDE w:val="0"/>
              <w:autoSpaceDN w:val="0"/>
              <w:adjustRightInd w:val="0"/>
              <w:rPr>
                <w:rFonts w:cstheme="minorHAnsi"/>
                <w:bCs/>
              </w:rPr>
            </w:pPr>
            <w:r>
              <w:rPr>
                <w:rFonts w:cstheme="minorHAnsi"/>
                <w:bCs/>
              </w:rPr>
              <w:t>Patients with s</w:t>
            </w:r>
            <w:r w:rsidR="00AA4C38">
              <w:rPr>
                <w:rFonts w:cstheme="minorHAnsi"/>
                <w:bCs/>
              </w:rPr>
              <w:t xml:space="preserve">taged procedures, defined as </w:t>
            </w:r>
            <w:r>
              <w:rPr>
                <w:rFonts w:cstheme="minorHAnsi"/>
                <w:bCs/>
              </w:rPr>
              <w:t xml:space="preserve">two or </w:t>
            </w:r>
            <w:r w:rsidR="00AA4C38">
              <w:rPr>
                <w:rFonts w:cstheme="minorHAnsi"/>
                <w:bCs/>
              </w:rPr>
              <w:t xml:space="preserve">more elective primary THA or TKA </w:t>
            </w:r>
            <w:r>
              <w:rPr>
                <w:rFonts w:cstheme="minorHAnsi"/>
                <w:bCs/>
              </w:rPr>
              <w:t xml:space="preserve">procedures </w:t>
            </w:r>
            <w:r w:rsidR="00AA4C38">
              <w:rPr>
                <w:rFonts w:cstheme="minorHAnsi"/>
                <w:bCs/>
              </w:rPr>
              <w:t xml:space="preserve">performed on the same patient during distinct hospitalizations during the measurement period, were excluded from the measure. The overlapping recovery periods for staged procedures occurring within one year of each other </w:t>
            </w:r>
            <w:r w:rsidR="00D83845">
              <w:rPr>
                <w:rFonts w:cstheme="minorHAnsi"/>
                <w:bCs/>
              </w:rPr>
              <w:t xml:space="preserve">has two consequences that set patients experiencing staged THA/TKA procedures apart from patients experiencing unilateral or bilateral procedures: 1) the recovery from one procedure may negatively impact recovery from the other procedure; and 2) it may be challenging to </w:t>
            </w:r>
            <w:r w:rsidR="00AA4C38">
              <w:rPr>
                <w:rFonts w:cstheme="minorHAnsi"/>
                <w:bCs/>
              </w:rPr>
              <w:t>fully distinguish</w:t>
            </w:r>
            <w:r w:rsidR="00D83845">
              <w:rPr>
                <w:rFonts w:cstheme="minorHAnsi"/>
                <w:bCs/>
              </w:rPr>
              <w:t xml:space="preserve"> </w:t>
            </w:r>
            <w:r w:rsidR="00AA4C38">
              <w:rPr>
                <w:rFonts w:cstheme="minorHAnsi"/>
                <w:bCs/>
              </w:rPr>
              <w:t xml:space="preserve">the recovery for either of the procedures from the other with postoperative PRO data (collected 270 to 365 days after surgery). </w:t>
            </w:r>
            <w:r w:rsidR="00D83845">
              <w:rPr>
                <w:rFonts w:cstheme="minorHAnsi"/>
                <w:bCs/>
              </w:rPr>
              <w:t xml:space="preserve">For these reasons, patients with staged procedures during the measurement period were </w:t>
            </w:r>
            <w:r w:rsidR="006C01F2">
              <w:rPr>
                <w:rFonts w:cstheme="minorHAnsi"/>
                <w:bCs/>
              </w:rPr>
              <w:t>excluded from the denominator</w:t>
            </w:r>
            <w:r w:rsidR="00D83845">
              <w:rPr>
                <w:rFonts w:cstheme="minorHAnsi"/>
                <w:bCs/>
              </w:rPr>
              <w:t>.</w:t>
            </w:r>
          </w:p>
        </w:tc>
      </w:tr>
    </w:tbl>
    <w:p w14:paraId="0CABCFE4" w14:textId="6AF0907B" w:rsidR="00833325" w:rsidRPr="009D3882" w:rsidRDefault="00833325"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A6EC757" w14:textId="08E223BC" w:rsidR="00394224"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66819B91" w14:textId="1539F354" w:rsidR="00B66E1C" w:rsidRDefault="00B66E1C" w:rsidP="0009256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50"/>
      </w:tblGrid>
      <w:tr w:rsidR="00B66E1C" w14:paraId="4F807926" w14:textId="77777777" w:rsidTr="00B66E1C">
        <w:tc>
          <w:tcPr>
            <w:tcW w:w="9350" w:type="dxa"/>
          </w:tcPr>
          <w:p w14:paraId="3C1D6A36" w14:textId="1F90EB1D" w:rsidR="00B66E1C" w:rsidRDefault="00B66E1C" w:rsidP="005D0EAC">
            <w:pPr>
              <w:autoSpaceDE w:val="0"/>
              <w:autoSpaceDN w:val="0"/>
              <w:adjustRightInd w:val="0"/>
              <w:rPr>
                <w:rFonts w:cstheme="minorHAnsi"/>
                <w:bCs/>
              </w:rPr>
            </w:pPr>
            <w:r>
              <w:rPr>
                <w:rFonts w:cstheme="minorHAnsi"/>
                <w:bCs/>
              </w:rPr>
              <w:t xml:space="preserve">Among the 238 hospitals in the total dataset, </w:t>
            </w:r>
            <w:r w:rsidR="005D0EAC">
              <w:rPr>
                <w:rFonts w:cstheme="minorHAnsi"/>
                <w:bCs/>
              </w:rPr>
              <w:t>491</w:t>
            </w:r>
            <w:r>
              <w:rPr>
                <w:rFonts w:cstheme="minorHAnsi"/>
                <w:bCs/>
              </w:rPr>
              <w:t xml:space="preserve"> (</w:t>
            </w:r>
            <w:r w:rsidR="005D0EAC">
              <w:rPr>
                <w:rFonts w:cstheme="minorHAnsi"/>
                <w:bCs/>
              </w:rPr>
              <w:t>4.17</w:t>
            </w:r>
            <w:r>
              <w:rPr>
                <w:rFonts w:cstheme="minorHAnsi"/>
                <w:bCs/>
              </w:rPr>
              <w:t xml:space="preserve">%) </w:t>
            </w:r>
            <w:r w:rsidR="002B3B67">
              <w:rPr>
                <w:rFonts w:cstheme="minorHAnsi"/>
                <w:bCs/>
              </w:rPr>
              <w:t xml:space="preserve">of </w:t>
            </w:r>
            <w:r>
              <w:rPr>
                <w:rFonts w:cstheme="minorHAnsi"/>
                <w:bCs/>
              </w:rPr>
              <w:t xml:space="preserve">patients with complete PRO and risk variable data for staged procedures during the measurement period were excluded. Across hospitals, the mean proportion of procedures excluded from the analysis was </w:t>
            </w:r>
            <w:r w:rsidR="005D0EAC">
              <w:rPr>
                <w:rFonts w:cstheme="minorHAnsi"/>
                <w:bCs/>
              </w:rPr>
              <w:t>3.84</w:t>
            </w:r>
            <w:r>
              <w:rPr>
                <w:rFonts w:cstheme="minorHAnsi"/>
                <w:bCs/>
              </w:rPr>
              <w:t xml:space="preserve">% (SD </w:t>
            </w:r>
            <w:r w:rsidR="005D0EAC">
              <w:rPr>
                <w:rFonts w:cstheme="minorHAnsi"/>
                <w:bCs/>
              </w:rPr>
              <w:t>5.69</w:t>
            </w:r>
            <w:r>
              <w:rPr>
                <w:rFonts w:cstheme="minorHAnsi"/>
                <w:bCs/>
              </w:rPr>
              <w:t xml:space="preserve">), and the median proportion was </w:t>
            </w:r>
            <w:r w:rsidR="005D0EAC">
              <w:rPr>
                <w:rFonts w:cstheme="minorHAnsi"/>
                <w:bCs/>
              </w:rPr>
              <w:t>2</w:t>
            </w:r>
            <w:r>
              <w:rPr>
                <w:rFonts w:cstheme="minorHAnsi"/>
                <w:bCs/>
              </w:rPr>
              <w:t>.1</w:t>
            </w:r>
            <w:r w:rsidR="005D0EAC">
              <w:rPr>
                <w:rFonts w:cstheme="minorHAnsi"/>
                <w:bCs/>
              </w:rPr>
              <w:t>1</w:t>
            </w:r>
            <w:r>
              <w:rPr>
                <w:rFonts w:cstheme="minorHAnsi"/>
                <w:bCs/>
              </w:rPr>
              <w:t>%.</w:t>
            </w:r>
          </w:p>
        </w:tc>
      </w:tr>
    </w:tbl>
    <w:p w14:paraId="6B389556" w14:textId="77777777" w:rsidR="00B66E1C" w:rsidRDefault="00B66E1C" w:rsidP="00092566">
      <w:pPr>
        <w:autoSpaceDE w:val="0"/>
        <w:autoSpaceDN w:val="0"/>
        <w:adjustRightInd w:val="0"/>
        <w:spacing w:after="0" w:line="240" w:lineRule="auto"/>
        <w:rPr>
          <w:rFonts w:cstheme="minorHAnsi"/>
          <w:bCs/>
        </w:rPr>
      </w:pPr>
    </w:p>
    <w:p w14:paraId="779DEB27" w14:textId="07CA774B" w:rsidR="00391B40" w:rsidRPr="00391B40" w:rsidRDefault="00391B40" w:rsidP="00574BE6">
      <w:pPr>
        <w:spacing w:line="240" w:lineRule="auto"/>
        <w:rPr>
          <w:b/>
          <w:u w:val="single"/>
        </w:rPr>
      </w:pPr>
      <w:r>
        <w:rPr>
          <w:b/>
        </w:rPr>
        <w:t>Table 4</w:t>
      </w:r>
      <w:r w:rsidRPr="00704360">
        <w:rPr>
          <w:b/>
        </w:rPr>
        <w:t>.</w:t>
      </w:r>
      <w:r>
        <w:rPr>
          <w:b/>
        </w:rPr>
        <w:t xml:space="preserve"> </w:t>
      </w:r>
      <w:r w:rsidR="0066560F">
        <w:rPr>
          <w:b/>
        </w:rPr>
        <w:t>Proportion of Procedures Across Hospitals Removed for Exclusion of Staged Procedures</w:t>
      </w:r>
      <w:r>
        <w:rPr>
          <w:b/>
        </w:rPr>
        <w:t xml:space="preserve"> </w:t>
      </w:r>
      <w:r w:rsidR="0066560F">
        <w:rPr>
          <w:b/>
        </w:rPr>
        <w:t>(</w:t>
      </w:r>
      <w:r>
        <w:rPr>
          <w:b/>
        </w:rPr>
        <w:t>Total Dataset</w:t>
      </w:r>
      <w:r w:rsidR="0066560F">
        <w:rPr>
          <w:b/>
        </w:rPr>
        <w:t>)</w:t>
      </w:r>
    </w:p>
    <w:tbl>
      <w:tblPr>
        <w:tblStyle w:val="TableGrid"/>
        <w:tblW w:w="9265" w:type="dxa"/>
        <w:tblLook w:val="04A0" w:firstRow="1" w:lastRow="0" w:firstColumn="1" w:lastColumn="0" w:noHBand="0" w:noVBand="1"/>
      </w:tblPr>
      <w:tblGrid>
        <w:gridCol w:w="6295"/>
        <w:gridCol w:w="2970"/>
      </w:tblGrid>
      <w:tr w:rsidR="00391B40" w14:paraId="6CE05C93" w14:textId="77777777" w:rsidTr="00222693">
        <w:trPr>
          <w:tblHeader/>
        </w:trPr>
        <w:tc>
          <w:tcPr>
            <w:tcW w:w="6295" w:type="dxa"/>
            <w:shd w:val="clear" w:color="auto" w:fill="DDEBF7"/>
          </w:tcPr>
          <w:p w14:paraId="408FD818" w14:textId="68B10881" w:rsidR="00391B40" w:rsidRPr="00EC77AC" w:rsidRDefault="00E71C5C" w:rsidP="0030529C">
            <w:pPr>
              <w:rPr>
                <w:b/>
              </w:rPr>
            </w:pPr>
            <w:r>
              <w:rPr>
                <w:b/>
              </w:rPr>
              <w:t>Summary Statistics</w:t>
            </w:r>
          </w:p>
        </w:tc>
        <w:tc>
          <w:tcPr>
            <w:tcW w:w="2970" w:type="dxa"/>
            <w:shd w:val="clear" w:color="auto" w:fill="DDEBF7"/>
          </w:tcPr>
          <w:p w14:paraId="6961ED7A" w14:textId="77777777" w:rsidR="00391B40" w:rsidRDefault="00391B40" w:rsidP="0030529C">
            <w:pPr>
              <w:jc w:val="center"/>
              <w:rPr>
                <w:b/>
              </w:rPr>
            </w:pPr>
            <w:r>
              <w:rPr>
                <w:b/>
              </w:rPr>
              <w:t>Staged Procedures</w:t>
            </w:r>
          </w:p>
        </w:tc>
      </w:tr>
      <w:tr w:rsidR="00391B40" w:rsidRPr="00413E3B" w14:paraId="128525EA" w14:textId="77777777" w:rsidTr="002B3B67">
        <w:tc>
          <w:tcPr>
            <w:tcW w:w="6295" w:type="dxa"/>
          </w:tcPr>
          <w:p w14:paraId="764C6BE2" w14:textId="77777777" w:rsidR="00391B40" w:rsidRPr="00EC77AC" w:rsidRDefault="00391B40" w:rsidP="0030529C">
            <w:pPr>
              <w:rPr>
                <w:b/>
              </w:rPr>
            </w:pPr>
            <w:r w:rsidRPr="00EC77AC">
              <w:rPr>
                <w:b/>
              </w:rPr>
              <w:t>N (Hospitals)</w:t>
            </w:r>
          </w:p>
        </w:tc>
        <w:tc>
          <w:tcPr>
            <w:tcW w:w="2970" w:type="dxa"/>
          </w:tcPr>
          <w:p w14:paraId="6CD3C04C" w14:textId="77777777" w:rsidR="00391B40" w:rsidRPr="00413E3B" w:rsidRDefault="00391B40" w:rsidP="0030529C">
            <w:pPr>
              <w:jc w:val="center"/>
              <w:rPr>
                <w:rFonts w:cstheme="minorHAnsi"/>
                <w:sz w:val="24"/>
                <w:szCs w:val="24"/>
              </w:rPr>
            </w:pPr>
            <w:r>
              <w:rPr>
                <w:rFonts w:cstheme="minorHAnsi"/>
              </w:rPr>
              <w:t>238</w:t>
            </w:r>
          </w:p>
        </w:tc>
      </w:tr>
      <w:tr w:rsidR="00391B40" w14:paraId="45D09E3B" w14:textId="77777777" w:rsidTr="002B3B67">
        <w:tc>
          <w:tcPr>
            <w:tcW w:w="6295" w:type="dxa"/>
          </w:tcPr>
          <w:p w14:paraId="190C30B1" w14:textId="41673DB1" w:rsidR="00391B40" w:rsidRPr="00EC77AC" w:rsidRDefault="00391B40" w:rsidP="0030529C">
            <w:pPr>
              <w:rPr>
                <w:b/>
              </w:rPr>
            </w:pPr>
            <w:r>
              <w:rPr>
                <w:b/>
              </w:rPr>
              <w:t>N (</w:t>
            </w:r>
            <w:r w:rsidR="005D0EAC">
              <w:rPr>
                <w:b/>
              </w:rPr>
              <w:t xml:space="preserve">THA/TKA </w:t>
            </w:r>
            <w:r>
              <w:rPr>
                <w:b/>
              </w:rPr>
              <w:t>P</w:t>
            </w:r>
            <w:r w:rsidR="005D0EAC">
              <w:rPr>
                <w:b/>
              </w:rPr>
              <w:t xml:space="preserve">atients with Complete PRO </w:t>
            </w:r>
            <w:r w:rsidR="002B3B67">
              <w:rPr>
                <w:b/>
              </w:rPr>
              <w:t xml:space="preserve">and Risk Variable </w:t>
            </w:r>
            <w:r w:rsidR="005D0EAC">
              <w:rPr>
                <w:b/>
              </w:rPr>
              <w:t>Data</w:t>
            </w:r>
            <w:r>
              <w:rPr>
                <w:b/>
              </w:rPr>
              <w:t>)</w:t>
            </w:r>
          </w:p>
        </w:tc>
        <w:tc>
          <w:tcPr>
            <w:tcW w:w="2970" w:type="dxa"/>
          </w:tcPr>
          <w:p w14:paraId="03B4B000" w14:textId="3BB3AD5C" w:rsidR="00391B40" w:rsidRDefault="002B3B67" w:rsidP="0030529C">
            <w:pPr>
              <w:jc w:val="center"/>
              <w:rPr>
                <w:rFonts w:cstheme="minorHAnsi"/>
                <w:color w:val="000000"/>
              </w:rPr>
            </w:pPr>
            <w:r>
              <w:rPr>
                <w:rFonts w:cstheme="minorHAnsi"/>
                <w:color w:val="000000"/>
              </w:rPr>
              <w:t>11761</w:t>
            </w:r>
          </w:p>
        </w:tc>
      </w:tr>
      <w:tr w:rsidR="005D0EAC" w:rsidRPr="00413E3B" w14:paraId="41352DBA" w14:textId="77777777" w:rsidTr="002B3B67">
        <w:tc>
          <w:tcPr>
            <w:tcW w:w="6295" w:type="dxa"/>
          </w:tcPr>
          <w:p w14:paraId="45C3A095" w14:textId="30B699C6" w:rsidR="005D0EAC" w:rsidRPr="00EC77AC" w:rsidRDefault="002B3B67" w:rsidP="0030529C">
            <w:pPr>
              <w:rPr>
                <w:b/>
              </w:rPr>
            </w:pPr>
            <w:r>
              <w:rPr>
                <w:b/>
              </w:rPr>
              <w:t>N (Staged Procedures with Complete PRO and Risk Variable Data)</w:t>
            </w:r>
          </w:p>
        </w:tc>
        <w:tc>
          <w:tcPr>
            <w:tcW w:w="2970" w:type="dxa"/>
          </w:tcPr>
          <w:p w14:paraId="7CF43F81" w14:textId="4D60B5A5" w:rsidR="005D0EAC" w:rsidRDefault="002B3B67" w:rsidP="0030529C">
            <w:pPr>
              <w:jc w:val="center"/>
              <w:rPr>
                <w:rFonts w:cstheme="minorHAnsi"/>
                <w:color w:val="000000"/>
              </w:rPr>
            </w:pPr>
            <w:r>
              <w:rPr>
                <w:rFonts w:cstheme="minorHAnsi"/>
                <w:color w:val="000000"/>
              </w:rPr>
              <w:t>491</w:t>
            </w:r>
          </w:p>
        </w:tc>
      </w:tr>
      <w:tr w:rsidR="00391B40" w:rsidRPr="00413E3B" w14:paraId="41A7CEDD" w14:textId="77777777" w:rsidTr="002B3B67">
        <w:tc>
          <w:tcPr>
            <w:tcW w:w="6295" w:type="dxa"/>
          </w:tcPr>
          <w:p w14:paraId="6F531A0B" w14:textId="77777777" w:rsidR="00391B40" w:rsidRPr="00EC77AC" w:rsidRDefault="00391B40" w:rsidP="0030529C">
            <w:pPr>
              <w:rPr>
                <w:b/>
              </w:rPr>
            </w:pPr>
            <w:r w:rsidRPr="00EC77AC">
              <w:rPr>
                <w:b/>
              </w:rPr>
              <w:t>Mean (SD)</w:t>
            </w:r>
          </w:p>
        </w:tc>
        <w:tc>
          <w:tcPr>
            <w:tcW w:w="2970" w:type="dxa"/>
          </w:tcPr>
          <w:p w14:paraId="621B0551" w14:textId="02C1E80E" w:rsidR="00391B40" w:rsidRPr="00413E3B" w:rsidRDefault="005D0EAC" w:rsidP="0030529C">
            <w:pPr>
              <w:jc w:val="center"/>
              <w:rPr>
                <w:rFonts w:cstheme="minorHAnsi"/>
                <w:color w:val="000000"/>
                <w:sz w:val="24"/>
                <w:szCs w:val="24"/>
              </w:rPr>
            </w:pPr>
            <w:r>
              <w:rPr>
                <w:rFonts w:cstheme="minorHAnsi"/>
                <w:color w:val="000000"/>
              </w:rPr>
              <w:t>3.84</w:t>
            </w:r>
            <w:r w:rsidR="00391B40">
              <w:rPr>
                <w:rFonts w:cstheme="minorHAnsi"/>
                <w:color w:val="000000"/>
              </w:rPr>
              <w:t>% (</w:t>
            </w:r>
            <w:r>
              <w:rPr>
                <w:rFonts w:cstheme="minorHAnsi"/>
                <w:color w:val="000000"/>
              </w:rPr>
              <w:t>5.69</w:t>
            </w:r>
            <w:r w:rsidR="00391B40">
              <w:rPr>
                <w:rFonts w:cstheme="minorHAnsi"/>
                <w:color w:val="000000"/>
              </w:rPr>
              <w:t>)</w:t>
            </w:r>
          </w:p>
        </w:tc>
      </w:tr>
      <w:tr w:rsidR="00391B40" w:rsidRPr="009514D8" w14:paraId="0407E48E" w14:textId="77777777" w:rsidTr="002B3B67">
        <w:tc>
          <w:tcPr>
            <w:tcW w:w="6295" w:type="dxa"/>
          </w:tcPr>
          <w:p w14:paraId="5DB7D757" w14:textId="77777777" w:rsidR="00391B40" w:rsidRPr="00EC77AC" w:rsidRDefault="00391B40" w:rsidP="0030529C">
            <w:pPr>
              <w:rPr>
                <w:b/>
              </w:rPr>
            </w:pPr>
            <w:r w:rsidRPr="00EC77AC">
              <w:rPr>
                <w:b/>
              </w:rPr>
              <w:lastRenderedPageBreak/>
              <w:t>Percentile</w:t>
            </w:r>
          </w:p>
        </w:tc>
        <w:tc>
          <w:tcPr>
            <w:tcW w:w="2970" w:type="dxa"/>
          </w:tcPr>
          <w:p w14:paraId="70CD0363" w14:textId="77777777" w:rsidR="00391B40" w:rsidRPr="009514D8" w:rsidRDefault="00391B40" w:rsidP="0030529C">
            <w:pPr>
              <w:jc w:val="center"/>
              <w:rPr>
                <w:rFonts w:cstheme="minorHAnsi"/>
              </w:rPr>
            </w:pPr>
          </w:p>
        </w:tc>
      </w:tr>
      <w:tr w:rsidR="00391B40" w:rsidRPr="00413E3B" w14:paraId="1EC76E20" w14:textId="77777777" w:rsidTr="002B3B67">
        <w:tc>
          <w:tcPr>
            <w:tcW w:w="6295" w:type="dxa"/>
          </w:tcPr>
          <w:p w14:paraId="3DD7CB2A" w14:textId="77777777" w:rsidR="00391B40" w:rsidRDefault="00391B40" w:rsidP="0030529C">
            <w:pPr>
              <w:rPr>
                <w:b/>
              </w:rPr>
            </w:pPr>
            <w:r>
              <w:rPr>
                <w:b/>
              </w:rPr>
              <w:t>100% Max</w:t>
            </w:r>
          </w:p>
        </w:tc>
        <w:tc>
          <w:tcPr>
            <w:tcW w:w="2970" w:type="dxa"/>
          </w:tcPr>
          <w:p w14:paraId="1A99F136" w14:textId="09EDDB54" w:rsidR="00391B40" w:rsidRPr="00413E3B" w:rsidRDefault="002B3B67" w:rsidP="0030529C">
            <w:pPr>
              <w:jc w:val="center"/>
              <w:rPr>
                <w:rFonts w:ascii="Calibri" w:hAnsi="Calibri" w:cs="Calibri"/>
                <w:color w:val="000000"/>
                <w:sz w:val="24"/>
                <w:szCs w:val="24"/>
              </w:rPr>
            </w:pPr>
            <w:r>
              <w:rPr>
                <w:color w:val="000000"/>
              </w:rPr>
              <w:t>43.48</w:t>
            </w:r>
            <w:r w:rsidR="00391B40">
              <w:rPr>
                <w:color w:val="000000"/>
              </w:rPr>
              <w:t>%</w:t>
            </w:r>
          </w:p>
        </w:tc>
      </w:tr>
      <w:tr w:rsidR="002B3B67" w:rsidRPr="00413E3B" w14:paraId="2E6AB82B" w14:textId="77777777" w:rsidTr="002B3B67">
        <w:tc>
          <w:tcPr>
            <w:tcW w:w="6295" w:type="dxa"/>
          </w:tcPr>
          <w:p w14:paraId="74E69149" w14:textId="4DF8D244" w:rsidR="002B3B67" w:rsidRPr="00EC77AC" w:rsidRDefault="002B3B67" w:rsidP="0030529C">
            <w:pPr>
              <w:rPr>
                <w:b/>
              </w:rPr>
            </w:pPr>
            <w:r>
              <w:rPr>
                <w:b/>
              </w:rPr>
              <w:t>99%</w:t>
            </w:r>
          </w:p>
        </w:tc>
        <w:tc>
          <w:tcPr>
            <w:tcW w:w="2970" w:type="dxa"/>
          </w:tcPr>
          <w:p w14:paraId="4C6088BE" w14:textId="619FBC9C" w:rsidR="002B3B67" w:rsidRDefault="002B3B67" w:rsidP="0030529C">
            <w:pPr>
              <w:jc w:val="center"/>
              <w:rPr>
                <w:color w:val="000000"/>
              </w:rPr>
            </w:pPr>
            <w:r>
              <w:rPr>
                <w:color w:val="000000"/>
              </w:rPr>
              <w:t>33.33%</w:t>
            </w:r>
          </w:p>
        </w:tc>
      </w:tr>
      <w:tr w:rsidR="00391B40" w:rsidRPr="00413E3B" w14:paraId="3250CFAF" w14:textId="77777777" w:rsidTr="002B3B67">
        <w:tc>
          <w:tcPr>
            <w:tcW w:w="6295" w:type="dxa"/>
          </w:tcPr>
          <w:p w14:paraId="63D87C5E" w14:textId="77777777" w:rsidR="00391B40" w:rsidRPr="00EC77AC" w:rsidRDefault="00391B40" w:rsidP="0030529C">
            <w:pPr>
              <w:rPr>
                <w:b/>
              </w:rPr>
            </w:pPr>
            <w:r w:rsidRPr="00EC77AC">
              <w:rPr>
                <w:b/>
              </w:rPr>
              <w:t>75% (Q3)</w:t>
            </w:r>
          </w:p>
        </w:tc>
        <w:tc>
          <w:tcPr>
            <w:tcW w:w="2970" w:type="dxa"/>
          </w:tcPr>
          <w:p w14:paraId="03280B94" w14:textId="7D6F338C" w:rsidR="00391B40" w:rsidRPr="00413E3B" w:rsidRDefault="002B3B67" w:rsidP="0030529C">
            <w:pPr>
              <w:jc w:val="center"/>
              <w:rPr>
                <w:rFonts w:ascii="Calibri" w:hAnsi="Calibri" w:cs="Calibri"/>
                <w:color w:val="000000"/>
                <w:sz w:val="24"/>
                <w:szCs w:val="24"/>
              </w:rPr>
            </w:pPr>
            <w:r>
              <w:rPr>
                <w:color w:val="000000"/>
              </w:rPr>
              <w:t>5</w:t>
            </w:r>
            <w:r w:rsidR="00391B40">
              <w:rPr>
                <w:color w:val="000000"/>
              </w:rPr>
              <w:t>.26%</w:t>
            </w:r>
          </w:p>
        </w:tc>
      </w:tr>
      <w:tr w:rsidR="00391B40" w:rsidRPr="00413E3B" w14:paraId="669D484B" w14:textId="77777777" w:rsidTr="002B3B67">
        <w:tc>
          <w:tcPr>
            <w:tcW w:w="6295" w:type="dxa"/>
          </w:tcPr>
          <w:p w14:paraId="613C38C7" w14:textId="77777777" w:rsidR="00391B40" w:rsidRPr="00EC77AC" w:rsidRDefault="00391B40" w:rsidP="0030529C">
            <w:pPr>
              <w:rPr>
                <w:b/>
              </w:rPr>
            </w:pPr>
            <w:r w:rsidRPr="00EC77AC">
              <w:rPr>
                <w:b/>
              </w:rPr>
              <w:t>50% (Median)</w:t>
            </w:r>
          </w:p>
        </w:tc>
        <w:tc>
          <w:tcPr>
            <w:tcW w:w="2970" w:type="dxa"/>
          </w:tcPr>
          <w:p w14:paraId="5E5B10B8" w14:textId="3F190A92" w:rsidR="00391B40" w:rsidRPr="00413E3B" w:rsidRDefault="002B3B67" w:rsidP="0030529C">
            <w:pPr>
              <w:jc w:val="center"/>
              <w:rPr>
                <w:rFonts w:ascii="Calibri" w:hAnsi="Calibri" w:cs="Calibri"/>
                <w:color w:val="000000"/>
                <w:sz w:val="24"/>
                <w:szCs w:val="24"/>
              </w:rPr>
            </w:pPr>
            <w:r>
              <w:rPr>
                <w:color w:val="000000"/>
              </w:rPr>
              <w:t>2.11</w:t>
            </w:r>
            <w:r w:rsidR="00391B40">
              <w:rPr>
                <w:color w:val="000000"/>
              </w:rPr>
              <w:t>%</w:t>
            </w:r>
          </w:p>
        </w:tc>
      </w:tr>
      <w:tr w:rsidR="00391B40" w:rsidRPr="00413E3B" w14:paraId="6619B272" w14:textId="77777777" w:rsidTr="002B3B67">
        <w:tc>
          <w:tcPr>
            <w:tcW w:w="6295" w:type="dxa"/>
          </w:tcPr>
          <w:p w14:paraId="3AEB6334" w14:textId="77777777" w:rsidR="00391B40" w:rsidRPr="00EC77AC" w:rsidRDefault="00391B40" w:rsidP="0030529C">
            <w:pPr>
              <w:rPr>
                <w:b/>
              </w:rPr>
            </w:pPr>
            <w:r w:rsidRPr="00EC77AC">
              <w:rPr>
                <w:b/>
              </w:rPr>
              <w:t>25% (Q1)</w:t>
            </w:r>
          </w:p>
        </w:tc>
        <w:tc>
          <w:tcPr>
            <w:tcW w:w="2970" w:type="dxa"/>
          </w:tcPr>
          <w:p w14:paraId="73498253" w14:textId="77777777" w:rsidR="00391B40" w:rsidRPr="00413E3B" w:rsidRDefault="00391B40" w:rsidP="0030529C">
            <w:pPr>
              <w:jc w:val="center"/>
              <w:rPr>
                <w:rFonts w:ascii="Calibri" w:hAnsi="Calibri" w:cs="Calibri"/>
                <w:color w:val="000000"/>
                <w:sz w:val="24"/>
                <w:szCs w:val="24"/>
              </w:rPr>
            </w:pPr>
            <w:r>
              <w:rPr>
                <w:color w:val="000000"/>
              </w:rPr>
              <w:t>0.00</w:t>
            </w:r>
            <w:r>
              <w:rPr>
                <w:rFonts w:ascii="Calibri" w:hAnsi="Calibri"/>
                <w:color w:val="000000"/>
              </w:rPr>
              <w:t>%</w:t>
            </w:r>
          </w:p>
        </w:tc>
      </w:tr>
      <w:tr w:rsidR="002B3B67" w:rsidRPr="00413E3B" w14:paraId="2839D6F9" w14:textId="77777777" w:rsidTr="002B3B67">
        <w:tc>
          <w:tcPr>
            <w:tcW w:w="6295" w:type="dxa"/>
          </w:tcPr>
          <w:p w14:paraId="09AB429F" w14:textId="5DA7634D" w:rsidR="002B3B67" w:rsidRDefault="002B3B67" w:rsidP="0030529C">
            <w:pPr>
              <w:rPr>
                <w:b/>
              </w:rPr>
            </w:pPr>
            <w:r>
              <w:rPr>
                <w:b/>
              </w:rPr>
              <w:t>1%</w:t>
            </w:r>
          </w:p>
        </w:tc>
        <w:tc>
          <w:tcPr>
            <w:tcW w:w="2970" w:type="dxa"/>
          </w:tcPr>
          <w:p w14:paraId="0A277ED8" w14:textId="799970B0" w:rsidR="002B3B67" w:rsidRDefault="002B3B67" w:rsidP="0030529C">
            <w:pPr>
              <w:jc w:val="center"/>
              <w:rPr>
                <w:color w:val="000000"/>
              </w:rPr>
            </w:pPr>
            <w:r>
              <w:rPr>
                <w:color w:val="000000"/>
              </w:rPr>
              <w:t>0.00%</w:t>
            </w:r>
          </w:p>
        </w:tc>
      </w:tr>
      <w:tr w:rsidR="00391B40" w:rsidRPr="00413E3B" w14:paraId="613DE72B" w14:textId="77777777" w:rsidTr="002B3B67">
        <w:tc>
          <w:tcPr>
            <w:tcW w:w="6295" w:type="dxa"/>
          </w:tcPr>
          <w:p w14:paraId="02DFA8D8" w14:textId="77777777" w:rsidR="00391B40" w:rsidRPr="00EC77AC" w:rsidRDefault="00391B40" w:rsidP="0030529C">
            <w:pPr>
              <w:rPr>
                <w:b/>
              </w:rPr>
            </w:pPr>
            <w:r>
              <w:rPr>
                <w:b/>
              </w:rPr>
              <w:t>0% Min</w:t>
            </w:r>
          </w:p>
        </w:tc>
        <w:tc>
          <w:tcPr>
            <w:tcW w:w="2970" w:type="dxa"/>
          </w:tcPr>
          <w:p w14:paraId="595D0962" w14:textId="77777777" w:rsidR="00391B40" w:rsidRPr="00413E3B" w:rsidRDefault="00391B40" w:rsidP="0030529C">
            <w:pPr>
              <w:jc w:val="center"/>
              <w:rPr>
                <w:rFonts w:ascii="Calibri" w:hAnsi="Calibri" w:cs="Calibri"/>
                <w:color w:val="000000"/>
                <w:sz w:val="24"/>
                <w:szCs w:val="24"/>
              </w:rPr>
            </w:pPr>
            <w:r>
              <w:rPr>
                <w:color w:val="000000"/>
              </w:rPr>
              <w:t>0.00</w:t>
            </w:r>
            <w:r>
              <w:rPr>
                <w:rFonts w:ascii="Calibri" w:hAnsi="Calibri"/>
                <w:color w:val="000000"/>
              </w:rPr>
              <w:t>%</w:t>
            </w:r>
          </w:p>
        </w:tc>
      </w:tr>
    </w:tbl>
    <w:p w14:paraId="26806D8D" w14:textId="77777777" w:rsidR="00135D49" w:rsidRDefault="00135D49"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0049FE1" w14:textId="79489366" w:rsidR="00394224"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63F633BC" w14:textId="77777777" w:rsidTr="00062A58">
        <w:tc>
          <w:tcPr>
            <w:tcW w:w="9350" w:type="dxa"/>
          </w:tcPr>
          <w:p w14:paraId="7C765DB7" w14:textId="231C2A38" w:rsidR="00394224" w:rsidRDefault="005D280C" w:rsidP="00062A58">
            <w:pPr>
              <w:autoSpaceDE w:val="0"/>
              <w:autoSpaceDN w:val="0"/>
              <w:adjustRightInd w:val="0"/>
              <w:rPr>
                <w:rFonts w:cstheme="minorHAnsi"/>
                <w:bCs/>
              </w:rPr>
            </w:pPr>
            <w:r>
              <w:rPr>
                <w:rFonts w:cstheme="minorHAnsi"/>
                <w:bCs/>
              </w:rPr>
              <w:t xml:space="preserve">The exclusion of staged procedures from the analysis removes a potential negative impact on hospital-specific measure results since the recovery from one procedure may negatively impact recovery from the other procedure, and the challenge of fully distinguishing the recovery for either of the procedures from the other with postoperative PRO data (collected 270 to 365 days after surgery). </w:t>
            </w:r>
            <w:r w:rsidR="005009D1">
              <w:rPr>
                <w:rFonts w:cstheme="minorHAnsi"/>
                <w:bCs/>
              </w:rPr>
              <w:t xml:space="preserve">While bilateral procedures share the same follow-up period and can be accounted for in the risk model (and thus are not excluded), staged procedures that are performed at distinct times with varying amounts of time between procedures per patient </w:t>
            </w:r>
            <w:r w:rsidR="00FB2136">
              <w:rPr>
                <w:rFonts w:cstheme="minorHAnsi"/>
                <w:bCs/>
              </w:rPr>
              <w:t>make accurate risk</w:t>
            </w:r>
            <w:r w:rsidR="005009D1">
              <w:rPr>
                <w:rFonts w:cstheme="minorHAnsi"/>
                <w:bCs/>
              </w:rPr>
              <w:t xml:space="preserve"> adjustment challenging.</w:t>
            </w:r>
          </w:p>
        </w:tc>
      </w:tr>
    </w:tbl>
    <w:p w14:paraId="0CABCFE8" w14:textId="3EB99136" w:rsidR="007422FD" w:rsidRPr="00A25024" w:rsidRDefault="007422FD"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16651D">
        <w:rPr>
          <w:rFonts w:cstheme="minorHAnsi"/>
          <w:b/>
          <w:bCs/>
          <w:i/>
        </w:rPr>
        <w:t>If not an intermediate or health outcome</w:t>
      </w:r>
      <w:r w:rsidR="00127C06" w:rsidRPr="0016651D">
        <w:rPr>
          <w:rFonts w:cstheme="minorHAnsi"/>
          <w:b/>
          <w:bCs/>
          <w:i/>
        </w:rPr>
        <w:t>,</w:t>
      </w:r>
      <w:r w:rsidR="00AC1D8E" w:rsidRPr="0016651D">
        <w:rPr>
          <w:rFonts w:cstheme="minorHAnsi"/>
          <w:b/>
          <w:bCs/>
          <w:i/>
        </w:rPr>
        <w:t xml:space="preserve"> </w:t>
      </w:r>
      <w:r w:rsidR="00127C06" w:rsidRPr="0016651D">
        <w:rPr>
          <w:rFonts w:cstheme="minorHAnsi"/>
          <w:b/>
          <w:bCs/>
          <w:i/>
        </w:rPr>
        <w:t xml:space="preserve">or PRO-PM, </w:t>
      </w:r>
      <w:r w:rsidR="00AC1D8E" w:rsidRPr="0016651D">
        <w:rPr>
          <w:rFonts w:cstheme="minorHAnsi"/>
          <w:b/>
          <w:bCs/>
          <w:i/>
        </w:rPr>
        <w:t xml:space="preserve">or resource use measure, </w:t>
      </w:r>
      <w:r w:rsidR="00BE592D" w:rsidRPr="0016651D">
        <w:rPr>
          <w:rFonts w:cstheme="minorHAnsi"/>
          <w:b/>
          <w:bCs/>
          <w:i/>
        </w:rPr>
        <w:t xml:space="preserve">skip to section </w:t>
      </w:r>
      <w:hyperlink w:anchor="section2b5" w:history="1">
        <w:r w:rsidR="00BE592D" w:rsidRPr="0016651D">
          <w:rPr>
            <w:rStyle w:val="Hyperlink"/>
            <w:rFonts w:cstheme="minorHAnsi"/>
            <w:b/>
            <w:bCs/>
            <w:i/>
          </w:rPr>
          <w:t>2b</w:t>
        </w:r>
        <w:r w:rsidR="00565946" w:rsidRPr="0016651D">
          <w:rPr>
            <w:rStyle w:val="Hyperlink"/>
            <w:rFonts w:cstheme="minorHAnsi"/>
            <w:b/>
            <w:bCs/>
            <w:i/>
          </w:rPr>
          <w:t>4</w:t>
        </w:r>
      </w:hyperlink>
      <w:r w:rsidR="00BE592D" w:rsidRPr="0016651D">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504A79B6" w:rsidR="00033038" w:rsidRPr="005232D6" w:rsidRDefault="00D7728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5C481D75" w:rsidR="00743E46" w:rsidRPr="005232D6" w:rsidRDefault="00D7728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B2166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F1D7F">
            <w:rPr>
              <w:rStyle w:val="Style4"/>
              <w:u w:val="none"/>
            </w:rPr>
            <w:t>19</w:t>
          </w:r>
        </w:sdtContent>
      </w:sdt>
      <w:r w:rsidR="00E562C0" w:rsidRPr="006F22A5">
        <w:rPr>
          <w:rStyle w:val="Style4"/>
          <w:u w:val="none"/>
        </w:rPr>
        <w:t xml:space="preserve"> </w:t>
      </w:r>
      <w:r w:rsidR="00743E46" w:rsidRPr="005232D6">
        <w:rPr>
          <w:rFonts w:cstheme="minorHAnsi"/>
          <w:b/>
          <w:bCs/>
        </w:rPr>
        <w:t>risk factors</w:t>
      </w:r>
    </w:p>
    <w:p w14:paraId="0CABCFEF" w14:textId="52A68290" w:rsidR="00743E46" w:rsidRPr="005232D6" w:rsidRDefault="00D7728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3C0AFCBC" w:rsidR="00743E46" w:rsidRPr="005232D6" w:rsidRDefault="00D7728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593B136F"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tbl>
      <w:tblPr>
        <w:tblStyle w:val="TableGrid"/>
        <w:tblW w:w="0" w:type="auto"/>
        <w:tblLook w:val="04A0" w:firstRow="1" w:lastRow="0" w:firstColumn="1" w:lastColumn="0" w:noHBand="0" w:noVBand="1"/>
      </w:tblPr>
      <w:tblGrid>
        <w:gridCol w:w="9350"/>
      </w:tblGrid>
      <w:tr w:rsidR="00394224" w14:paraId="77B8E709" w14:textId="77777777" w:rsidTr="00062A58">
        <w:tc>
          <w:tcPr>
            <w:tcW w:w="9350" w:type="dxa"/>
          </w:tcPr>
          <w:p w14:paraId="32AE1837" w14:textId="0B7E7ACA" w:rsidR="00732907" w:rsidRDefault="00BC43C2" w:rsidP="000C4B23">
            <w:r w:rsidRPr="00C8617E">
              <w:rPr>
                <w:rFonts w:cs="Calibri"/>
              </w:rPr>
              <w:t xml:space="preserve">For model development </w:t>
            </w:r>
            <w:r>
              <w:t>we used a logistic regression model, with outcome Y</w:t>
            </w:r>
            <w:r w:rsidRPr="003C1721">
              <w:rPr>
                <w:vertAlign w:val="subscript"/>
              </w:rPr>
              <w:t>i</w:t>
            </w:r>
            <w:r>
              <w:t xml:space="preserve"> for the i</w:t>
            </w:r>
            <w:r w:rsidRPr="003C1721">
              <w:rPr>
                <w:vertAlign w:val="superscript"/>
              </w:rPr>
              <w:t>th</w:t>
            </w:r>
            <w:r>
              <w:t xml:space="preserve"> patient equal to 1 if the patient had </w:t>
            </w:r>
            <w:r w:rsidR="008401A9">
              <w:t>achieved substantial clinical benefit (SCB)</w:t>
            </w:r>
            <w:r>
              <w:t xml:space="preserve"> improvement on the PROM score</w:t>
            </w:r>
            <w:r w:rsidR="008401A9">
              <w:t xml:space="preserve"> from preoperative to postoperative assessment</w:t>
            </w:r>
            <w:r w:rsidR="00A157BF">
              <w:t>,</w:t>
            </w:r>
            <w:r>
              <w:t xml:space="preserve"> and zero otherwise. </w:t>
            </w:r>
            <w:r w:rsidR="00507DE5">
              <w:t xml:space="preserve">[Substantial clinical benefit improvement is measured as a 22-point increase on the HOOS, JR from preoperative to postoperative assessment for THA patients, and a 20-point increase on the KOOS, JR from preoperative to postoperative assessment for TKA patients.] </w:t>
            </w:r>
            <w:r>
              <w:t xml:space="preserve">We developed </w:t>
            </w:r>
            <w:r w:rsidR="008401A9">
              <w:t xml:space="preserve">this model </w:t>
            </w:r>
            <w:r>
              <w:t xml:space="preserve">using risk variables identified in a </w:t>
            </w:r>
            <w:r w:rsidR="008401A9">
              <w:t>systematic</w:t>
            </w:r>
            <w:r>
              <w:t xml:space="preserve"> literature review</w:t>
            </w:r>
            <w:r w:rsidR="008401A9">
              <w:t>/environmental scan and by</w:t>
            </w:r>
            <w:r w:rsidR="008401A9" w:rsidRPr="00E01D49">
              <w:t xml:space="preserve"> orthopedists surveyed about what risk variables they consider important in predicting THA/TKA outcomes</w:t>
            </w:r>
            <w:r w:rsidR="008401A9">
              <w:t xml:space="preserve"> that were then prioritized by our</w:t>
            </w:r>
            <w:r w:rsidR="002E463A">
              <w:t xml:space="preserve"> technical expert panel</w:t>
            </w:r>
            <w:r w:rsidR="008401A9">
              <w:t xml:space="preserve"> </w:t>
            </w:r>
            <w:r w:rsidR="002E463A">
              <w:t>(</w:t>
            </w:r>
            <w:r w:rsidR="008401A9">
              <w:t>TEP</w:t>
            </w:r>
            <w:r w:rsidR="002E463A">
              <w:t>)</w:t>
            </w:r>
            <w:r w:rsidR="008401A9">
              <w:t xml:space="preserve"> and clinical experts as both clinically important and feasible. </w:t>
            </w:r>
          </w:p>
          <w:p w14:paraId="4D1E832B" w14:textId="77777777" w:rsidR="00732907" w:rsidRDefault="00732907" w:rsidP="000C4B23"/>
          <w:p w14:paraId="0C6A02D8" w14:textId="6E8C049D" w:rsidR="000822BD" w:rsidRDefault="00DD2046" w:rsidP="000C4B23">
            <w:r>
              <w:t xml:space="preserve">Please note: </w:t>
            </w:r>
            <w:r w:rsidR="00732907">
              <w:t xml:space="preserve">A table of </w:t>
            </w:r>
            <w:r>
              <w:t xml:space="preserve">initial </w:t>
            </w:r>
            <w:r w:rsidR="00732907">
              <w:t xml:space="preserve">candidate risk variables </w:t>
            </w:r>
            <w:r>
              <w:t>under consideration</w:t>
            </w:r>
            <w:r w:rsidR="00732907">
              <w:t xml:space="preserve"> and those finalized in the CJR Final Rule in 2015</w:t>
            </w:r>
            <w:r>
              <w:t xml:space="preserve"> </w:t>
            </w:r>
            <w:r w:rsidR="00296751">
              <w:rPr>
                <w:rFonts w:cstheme="minorHAnsi"/>
                <w:iCs/>
              </w:rPr>
              <w:t>(Centers f</w:t>
            </w:r>
            <w:r w:rsidR="00A042AB">
              <w:rPr>
                <w:rFonts w:cstheme="minorHAnsi"/>
                <w:iCs/>
              </w:rPr>
              <w:t>or Medicare &amp; Medicaid Services</w:t>
            </w:r>
            <w:r w:rsidR="00296751">
              <w:rPr>
                <w:rFonts w:cstheme="minorHAnsi"/>
                <w:iCs/>
              </w:rPr>
              <w:t xml:space="preserve">, CJR Final Rule 2015) </w:t>
            </w:r>
            <w:r w:rsidR="000822BD">
              <w:t xml:space="preserve">for PRO data </w:t>
            </w:r>
            <w:r w:rsidR="000822BD">
              <w:lastRenderedPageBreak/>
              <w:t xml:space="preserve">collection efforts for this measure </w:t>
            </w:r>
            <w:r>
              <w:t xml:space="preserve">are included in the Data Dictionary accompanying this NQF submission. This table </w:t>
            </w:r>
            <w:r w:rsidR="00D34DF9">
              <w:t>(Table 4</w:t>
            </w:r>
            <w:r>
              <w:t>) i</w:t>
            </w:r>
            <w:r w:rsidR="00732907">
              <w:t>nclud</w:t>
            </w:r>
            <w:r>
              <w:t>es</w:t>
            </w:r>
            <w:r w:rsidR="00732907">
              <w:t xml:space="preserve"> </w:t>
            </w:r>
            <w:r w:rsidR="000822BD">
              <w:t xml:space="preserve">proposed </w:t>
            </w:r>
            <w:r w:rsidR="00732907">
              <w:t>data sources for each variable,</w:t>
            </w:r>
            <w:r>
              <w:t xml:space="preserve"> and ratings </w:t>
            </w:r>
            <w:r w:rsidR="000822BD">
              <w:t>for each on five</w:t>
            </w:r>
            <w:r>
              <w:t xml:space="preserve"> selection criteria</w:t>
            </w:r>
            <w:r w:rsidR="000822BD">
              <w:t>: availability, importance, ease of collection, reliability, and validity</w:t>
            </w:r>
            <w:r>
              <w:t xml:space="preserve">. </w:t>
            </w:r>
            <w:r w:rsidR="000822BD">
              <w:t xml:space="preserve">This list of variables was reviewed and prioritized by the </w:t>
            </w:r>
            <w:r w:rsidR="00223BAE">
              <w:t>TEP</w:t>
            </w:r>
            <w:r w:rsidR="000822BD">
              <w:t xml:space="preserve"> and other stakeholders and clinical experts. </w:t>
            </w:r>
            <w:r>
              <w:t>A second table, also included in</w:t>
            </w:r>
            <w:r w:rsidR="00D34DF9">
              <w:t xml:space="preserve"> the Data Dictionary (Table 5</w:t>
            </w:r>
            <w:r>
              <w:t>)</w:t>
            </w:r>
            <w:r w:rsidR="000822BD">
              <w:t>,</w:t>
            </w:r>
            <w:r>
              <w:t xml:space="preserve"> </w:t>
            </w:r>
            <w:r w:rsidR="000822BD">
              <w:t xml:space="preserve">identifies the list of risk variables available from CJR PRO data collection and from Medicare claims data </w:t>
            </w:r>
            <w:r w:rsidR="00D34DF9">
              <w:t>assessed in risk modeling analyses</w:t>
            </w:r>
            <w:r w:rsidR="000822BD">
              <w:t xml:space="preserve"> during measure development. </w:t>
            </w:r>
            <w:r w:rsidR="00732907">
              <w:t xml:space="preserve"> </w:t>
            </w:r>
            <w:r w:rsidR="009C2DFF">
              <w:t xml:space="preserve">[Further details about risk variable selection for the risk model described in Section 2b3.3a, below.] </w:t>
            </w:r>
          </w:p>
          <w:p w14:paraId="203C7224" w14:textId="59FBE100" w:rsidR="007C1D0E" w:rsidRDefault="007C1D0E" w:rsidP="000C4B23">
            <w:r>
              <w:t>The risk variables included in the final model are:</w:t>
            </w:r>
          </w:p>
          <w:p w14:paraId="5351A83A" w14:textId="77777777" w:rsidR="007C1D0E" w:rsidRPr="00A84F53" w:rsidRDefault="007C1D0E" w:rsidP="0078015E">
            <w:pPr>
              <w:pStyle w:val="ListParagraph"/>
              <w:numPr>
                <w:ilvl w:val="0"/>
                <w:numId w:val="44"/>
              </w:numPr>
            </w:pPr>
            <w:r w:rsidRPr="00A84F53">
              <w:t>Age</w:t>
            </w:r>
            <w:r>
              <w:t>, in Years</w:t>
            </w:r>
          </w:p>
          <w:p w14:paraId="7EAF91B5" w14:textId="77777777" w:rsidR="007C1D0E" w:rsidRDefault="007C1D0E" w:rsidP="0078015E">
            <w:pPr>
              <w:pStyle w:val="ListParagraph"/>
              <w:numPr>
                <w:ilvl w:val="0"/>
                <w:numId w:val="43"/>
              </w:numPr>
            </w:pPr>
            <w:r>
              <w:t>Male S</w:t>
            </w:r>
            <w:r w:rsidRPr="00A84F53">
              <w:t>ex</w:t>
            </w:r>
          </w:p>
          <w:p w14:paraId="54AC8ECD" w14:textId="77777777" w:rsidR="007C1D0E" w:rsidRDefault="007C1D0E" w:rsidP="0078015E">
            <w:pPr>
              <w:pStyle w:val="ListParagraph"/>
              <w:numPr>
                <w:ilvl w:val="0"/>
                <w:numId w:val="43"/>
              </w:numPr>
            </w:pPr>
            <w:r>
              <w:t>Procedure: THA</w:t>
            </w:r>
          </w:p>
          <w:p w14:paraId="7AEF2C94" w14:textId="1DBBD788" w:rsidR="007C1D0E" w:rsidRDefault="007C1D0E" w:rsidP="0078015E">
            <w:pPr>
              <w:pStyle w:val="ListParagraph"/>
              <w:numPr>
                <w:ilvl w:val="0"/>
                <w:numId w:val="43"/>
              </w:numPr>
            </w:pPr>
            <w:r>
              <w:t>Bilateral procedure</w:t>
            </w:r>
          </w:p>
          <w:p w14:paraId="31954CB7" w14:textId="1CA57636" w:rsidR="007C1D0E" w:rsidRPr="0078015E" w:rsidRDefault="007C1D0E" w:rsidP="0078015E">
            <w:pPr>
              <w:pStyle w:val="ListParagraph"/>
              <w:numPr>
                <w:ilvl w:val="0"/>
                <w:numId w:val="43"/>
              </w:numPr>
              <w:rPr>
                <w:color w:val="000000"/>
              </w:rPr>
            </w:pPr>
            <w:r w:rsidRPr="0078015E">
              <w:rPr>
                <w:color w:val="000000"/>
              </w:rPr>
              <w:t>Health Literacy (assessed by response to Single Item Literacy Screener questionnaire, “Comfort Filling Out Medical Forms by Yourself”)</w:t>
            </w:r>
            <w:r w:rsidR="00751A23">
              <w:rPr>
                <w:color w:val="000000"/>
              </w:rPr>
              <w:t xml:space="preserve"> (Wallace et al, 2006; Sarkar et al, 2011)</w:t>
            </w:r>
          </w:p>
          <w:p w14:paraId="6C7EEAA9" w14:textId="3D5F2067" w:rsidR="0078015E" w:rsidRDefault="007C1D0E" w:rsidP="0078015E">
            <w:pPr>
              <w:pStyle w:val="ListParagraph"/>
              <w:numPr>
                <w:ilvl w:val="0"/>
                <w:numId w:val="43"/>
              </w:numPr>
              <w:rPr>
                <w:color w:val="000000"/>
              </w:rPr>
            </w:pPr>
            <w:r w:rsidRPr="0078015E">
              <w:rPr>
                <w:color w:val="000000"/>
              </w:rPr>
              <w:t>Back Pain at preoperative assessment (Quantified Spinal Pain: Patient-Reported Back Pain, Oswestry Disability Index question)</w:t>
            </w:r>
            <w:r w:rsidR="0078015E">
              <w:rPr>
                <w:color w:val="000000"/>
              </w:rPr>
              <w:t xml:space="preserve"> </w:t>
            </w:r>
            <w:r w:rsidR="00E65061">
              <w:rPr>
                <w:color w:val="000000"/>
              </w:rPr>
              <w:t>(Fairbank et al, 2000; Ayers et al, 2013)</w:t>
            </w:r>
          </w:p>
          <w:p w14:paraId="4DE65BCC" w14:textId="333E0F5F" w:rsidR="007C1D0E" w:rsidRPr="0078015E" w:rsidRDefault="007C1D0E" w:rsidP="0078015E">
            <w:pPr>
              <w:pStyle w:val="ListParagraph"/>
              <w:numPr>
                <w:ilvl w:val="0"/>
                <w:numId w:val="43"/>
              </w:numPr>
              <w:rPr>
                <w:color w:val="000000"/>
              </w:rPr>
            </w:pPr>
            <w:r w:rsidRPr="0078015E">
              <w:rPr>
                <w:color w:val="000000"/>
              </w:rPr>
              <w:t>Pain in Non-Operative Lower Extremity Joint (</w:t>
            </w:r>
            <w:r w:rsidRPr="0078015E">
              <w:rPr>
                <w:szCs w:val="20"/>
              </w:rPr>
              <w:t>Total painful joint count: Patient-Reported in Non-operative Lower Extremity Joint)</w:t>
            </w:r>
            <w:r w:rsidR="0078015E" w:rsidRPr="0078015E">
              <w:rPr>
                <w:color w:val="000000"/>
              </w:rPr>
              <w:t xml:space="preserve"> </w:t>
            </w:r>
            <w:r w:rsidR="00E65061">
              <w:rPr>
                <w:color w:val="000000"/>
              </w:rPr>
              <w:t>(Ayers et al, 2013)</w:t>
            </w:r>
          </w:p>
          <w:p w14:paraId="1DBE983C" w14:textId="5241CDC8" w:rsidR="007C1D0E" w:rsidRPr="0078015E" w:rsidRDefault="007C1D0E" w:rsidP="0078015E">
            <w:pPr>
              <w:pStyle w:val="ListParagraph"/>
              <w:numPr>
                <w:ilvl w:val="0"/>
                <w:numId w:val="43"/>
              </w:numPr>
              <w:rPr>
                <w:rStyle w:val="CommentReference"/>
                <w:sz w:val="22"/>
                <w:szCs w:val="22"/>
              </w:rPr>
            </w:pPr>
            <w:r>
              <w:t>Body Mass Index, in kg per m</w:t>
            </w:r>
            <w:r w:rsidRPr="0078015E">
              <w:rPr>
                <w:vertAlign w:val="superscript"/>
              </w:rPr>
              <w:t>2</w:t>
            </w:r>
          </w:p>
          <w:p w14:paraId="195C849E" w14:textId="77777777" w:rsidR="007C1D0E" w:rsidRPr="0078015E" w:rsidRDefault="007C1D0E" w:rsidP="0078015E">
            <w:pPr>
              <w:pStyle w:val="ListParagraph"/>
              <w:numPr>
                <w:ilvl w:val="0"/>
                <w:numId w:val="43"/>
              </w:numPr>
              <w:spacing w:before="120" w:after="120"/>
              <w:rPr>
                <w:rFonts w:cs="Calibri"/>
                <w:color w:val="000000"/>
              </w:rPr>
            </w:pPr>
            <w:r w:rsidRPr="0078015E">
              <w:rPr>
                <w:rFonts w:cs="Calibri"/>
                <w:color w:val="000000"/>
              </w:rPr>
              <w:t>Narcotic Use for &gt;90 days</w:t>
            </w:r>
          </w:p>
          <w:p w14:paraId="0D585D45" w14:textId="77777777" w:rsidR="007C1D0E" w:rsidRPr="0078015E" w:rsidRDefault="007C1D0E" w:rsidP="0078015E">
            <w:pPr>
              <w:pStyle w:val="ListParagraph"/>
              <w:numPr>
                <w:ilvl w:val="0"/>
                <w:numId w:val="43"/>
              </w:numPr>
              <w:rPr>
                <w:color w:val="000000"/>
              </w:rPr>
            </w:pPr>
            <w:r w:rsidRPr="0078015E">
              <w:rPr>
                <w:color w:val="000000"/>
              </w:rPr>
              <w:t>Baseline PROMIS Global Mental Health Subscale Score</w:t>
            </w:r>
          </w:p>
          <w:p w14:paraId="11FED891" w14:textId="77777777" w:rsidR="007C1D0E" w:rsidRPr="0078015E" w:rsidRDefault="007C1D0E" w:rsidP="0078015E">
            <w:pPr>
              <w:pStyle w:val="ListParagraph"/>
              <w:numPr>
                <w:ilvl w:val="0"/>
                <w:numId w:val="43"/>
              </w:numPr>
              <w:rPr>
                <w:rFonts w:cs="Calibri"/>
              </w:rPr>
            </w:pPr>
            <w:r w:rsidRPr="0078015E">
              <w:rPr>
                <w:rFonts w:cs="Calibri"/>
              </w:rPr>
              <w:t>Severe infection; other infectious diseases (CC 1, 3-7)</w:t>
            </w:r>
          </w:p>
          <w:p w14:paraId="0138FAB0" w14:textId="77777777" w:rsidR="007C1D0E" w:rsidRDefault="007C1D0E" w:rsidP="0078015E">
            <w:pPr>
              <w:pStyle w:val="ListParagraph"/>
              <w:numPr>
                <w:ilvl w:val="0"/>
                <w:numId w:val="43"/>
              </w:numPr>
              <w:rPr>
                <w:rFonts w:cs="Calibri"/>
              </w:rPr>
            </w:pPr>
            <w:r w:rsidRPr="0078015E">
              <w:rPr>
                <w:rFonts w:cs="Calibri"/>
              </w:rPr>
              <w:t>Diabetes mellitus (DM) or DM complications (CC 17-19, 122-123)</w:t>
            </w:r>
          </w:p>
          <w:p w14:paraId="799AABA9" w14:textId="05ADB7AB" w:rsidR="0078015E" w:rsidRPr="0078015E" w:rsidRDefault="0078015E" w:rsidP="0078015E">
            <w:pPr>
              <w:pStyle w:val="ListParagraph"/>
              <w:numPr>
                <w:ilvl w:val="0"/>
                <w:numId w:val="43"/>
              </w:numPr>
              <w:rPr>
                <w:rFonts w:cs="Calibri"/>
              </w:rPr>
            </w:pPr>
            <w:r w:rsidRPr="0078015E">
              <w:rPr>
                <w:rFonts w:cs="Calibri"/>
              </w:rPr>
              <w:t>Liver disease (CC 27-31)</w:t>
            </w:r>
          </w:p>
          <w:p w14:paraId="01F5F2E8" w14:textId="77777777" w:rsidR="007C1D0E" w:rsidRPr="0078015E" w:rsidRDefault="007C1D0E" w:rsidP="0078015E">
            <w:pPr>
              <w:pStyle w:val="ListParagraph"/>
              <w:numPr>
                <w:ilvl w:val="0"/>
                <w:numId w:val="43"/>
              </w:numPr>
              <w:rPr>
                <w:rFonts w:cs="Calibri"/>
              </w:rPr>
            </w:pPr>
            <w:r w:rsidRPr="0078015E">
              <w:rPr>
                <w:rFonts w:cs="Calibri"/>
              </w:rPr>
              <w:t>Rheumatoid arthritis and inflammatory connective tissue disease (CC 40)</w:t>
            </w:r>
          </w:p>
          <w:p w14:paraId="53744DE7" w14:textId="77777777" w:rsidR="007C1D0E" w:rsidRPr="0078015E" w:rsidRDefault="007C1D0E" w:rsidP="0078015E">
            <w:pPr>
              <w:pStyle w:val="ListParagraph"/>
              <w:numPr>
                <w:ilvl w:val="0"/>
                <w:numId w:val="43"/>
              </w:numPr>
              <w:rPr>
                <w:rFonts w:cs="Calibri"/>
              </w:rPr>
            </w:pPr>
            <w:r w:rsidRPr="0078015E">
              <w:rPr>
                <w:rFonts w:cs="Calibri"/>
              </w:rPr>
              <w:t>Depression (CC 61)</w:t>
            </w:r>
          </w:p>
          <w:p w14:paraId="2FDD6EEC" w14:textId="77777777" w:rsidR="007C1D0E" w:rsidRPr="0078015E" w:rsidRDefault="007C1D0E" w:rsidP="0078015E">
            <w:pPr>
              <w:pStyle w:val="ListParagraph"/>
              <w:numPr>
                <w:ilvl w:val="0"/>
                <w:numId w:val="43"/>
              </w:numPr>
              <w:rPr>
                <w:rFonts w:cs="Calibri"/>
              </w:rPr>
            </w:pPr>
            <w:r w:rsidRPr="0078015E">
              <w:rPr>
                <w:rFonts w:cs="Calibri"/>
              </w:rPr>
              <w:t>Other psychiatric disorders (CC 63)</w:t>
            </w:r>
          </w:p>
          <w:p w14:paraId="5CF5105A" w14:textId="77777777" w:rsidR="007C1D0E" w:rsidRPr="0078015E" w:rsidRDefault="007C1D0E" w:rsidP="0078015E">
            <w:pPr>
              <w:pStyle w:val="ListParagraph"/>
              <w:numPr>
                <w:ilvl w:val="0"/>
                <w:numId w:val="43"/>
              </w:numPr>
              <w:rPr>
                <w:rFonts w:cs="Calibri"/>
              </w:rPr>
            </w:pPr>
            <w:r w:rsidRPr="0078015E">
              <w:rPr>
                <w:rFonts w:cs="Calibri"/>
              </w:rPr>
              <w:t>Coronary atherosclerosis or angina (CC 88-89)</w:t>
            </w:r>
          </w:p>
          <w:p w14:paraId="40812483" w14:textId="77777777" w:rsidR="007C1D0E" w:rsidRPr="00937135" w:rsidRDefault="007C1D0E" w:rsidP="0078015E">
            <w:pPr>
              <w:pStyle w:val="ListParagraph"/>
              <w:numPr>
                <w:ilvl w:val="0"/>
                <w:numId w:val="43"/>
              </w:numPr>
              <w:rPr>
                <w:rFonts w:cs="Calibri"/>
              </w:rPr>
            </w:pPr>
            <w:r w:rsidRPr="00937135">
              <w:rPr>
                <w:rFonts w:cs="Calibri"/>
              </w:rPr>
              <w:t>Vascular or circulatory disease (CC 106-109)</w:t>
            </w:r>
          </w:p>
          <w:p w14:paraId="35628AEF" w14:textId="77777777" w:rsidR="007C1D0E" w:rsidRPr="003456E1" w:rsidRDefault="007C1D0E" w:rsidP="0078015E">
            <w:pPr>
              <w:pStyle w:val="ListParagraph"/>
              <w:numPr>
                <w:ilvl w:val="0"/>
                <w:numId w:val="43"/>
              </w:numPr>
              <w:rPr>
                <w:rFonts w:cs="Calibri"/>
              </w:rPr>
            </w:pPr>
            <w:r w:rsidRPr="003456E1">
              <w:rPr>
                <w:rFonts w:cs="Calibri"/>
              </w:rPr>
              <w:t>Renal failure (CC 135-140)</w:t>
            </w:r>
          </w:p>
          <w:p w14:paraId="208AB4BD" w14:textId="77777777" w:rsidR="007C1D0E" w:rsidRDefault="007C1D0E" w:rsidP="0078015E"/>
          <w:p w14:paraId="08DF9B8C" w14:textId="49F3943D" w:rsidR="00BC43C2" w:rsidRDefault="008401A9" w:rsidP="000C4B23">
            <w:r>
              <w:t>We</w:t>
            </w:r>
            <w:r w:rsidR="00BC43C2">
              <w:t xml:space="preserve"> estimated the hospital-specific RSIR using a hierarchical logistic regression model (hierarchical model). This strategy accounts for within-hospital correlation of the observed outcome among patients and accommodates the assumption that underlying differences in the quality of care across hospitals lead to systematic differences in patient outcomes. This approach models the log odds of patient improvement on the PROM as a function of patient demographics and clinically relevant comorbidities with an intercept for the hospital-specific random effect.</w:t>
            </w:r>
          </w:p>
          <w:p w14:paraId="2CD66238" w14:textId="77777777" w:rsidR="000C4B23" w:rsidRPr="00C8617E" w:rsidRDefault="000C4B23" w:rsidP="000C4B23">
            <w:pPr>
              <w:rPr>
                <w:rFonts w:cs="Calibri"/>
              </w:rPr>
            </w:pPr>
          </w:p>
          <w:p w14:paraId="055F0D73" w14:textId="670D94B0" w:rsidR="00BC43C2" w:rsidRDefault="00BC43C2" w:rsidP="000C4B23">
            <w:pPr>
              <w:rPr>
                <w:rFonts w:cs="Calibri"/>
              </w:rPr>
            </w:pPr>
            <w:r w:rsidRPr="00C8617E">
              <w:rPr>
                <w:rFonts w:cs="Calibri"/>
              </w:rPr>
              <w:t xml:space="preserve">We </w:t>
            </w:r>
            <w:r>
              <w:rPr>
                <w:rFonts w:cs="Calibri"/>
              </w:rPr>
              <w:t xml:space="preserve">then </w:t>
            </w:r>
            <w:r w:rsidRPr="00C8617E">
              <w:rPr>
                <w:rFonts w:cs="Calibri"/>
              </w:rPr>
              <w:t>calculate the hospital-</w:t>
            </w:r>
            <w:r w:rsidRPr="00E60B60">
              <w:rPr>
                <w:rFonts w:cs="Calibri"/>
              </w:rPr>
              <w:t>specific RSIRs, which</w:t>
            </w:r>
            <w:r w:rsidRPr="00C8617E">
              <w:rPr>
                <w:rFonts w:cs="Calibri"/>
              </w:rPr>
              <w:t xml:space="preserve"> w</w:t>
            </w:r>
            <w:r>
              <w:rPr>
                <w:rFonts w:cs="Calibri"/>
              </w:rPr>
              <w:t>ere</w:t>
            </w:r>
            <w:r w:rsidRPr="00C8617E">
              <w:rPr>
                <w:rFonts w:cs="Calibri"/>
              </w:rPr>
              <w:t xml:space="preserve"> calculated as the ratio of a hospital’s “predicted” </w:t>
            </w:r>
            <w:r>
              <w:rPr>
                <w:rFonts w:cs="Calibri"/>
              </w:rPr>
              <w:t xml:space="preserve">number of </w:t>
            </w:r>
            <w:r w:rsidRPr="00C8617E">
              <w:rPr>
                <w:rFonts w:cs="Calibri"/>
              </w:rPr>
              <w:t>improvement</w:t>
            </w:r>
            <w:r>
              <w:rPr>
                <w:rFonts w:cs="Calibri"/>
              </w:rPr>
              <w:t>s</w:t>
            </w:r>
            <w:r w:rsidRPr="00C8617E">
              <w:rPr>
                <w:rFonts w:cs="Calibri"/>
              </w:rPr>
              <w:t xml:space="preserve"> to “expected” </w:t>
            </w:r>
            <w:r>
              <w:rPr>
                <w:rFonts w:cs="Calibri"/>
              </w:rPr>
              <w:t xml:space="preserve">number of </w:t>
            </w:r>
            <w:r w:rsidRPr="00C8617E">
              <w:rPr>
                <w:rFonts w:cs="Calibri"/>
              </w:rPr>
              <w:t>improvement</w:t>
            </w:r>
            <w:r>
              <w:rPr>
                <w:rFonts w:cs="Calibri"/>
              </w:rPr>
              <w:t>s</w:t>
            </w:r>
            <w:r w:rsidRPr="00C8617E">
              <w:rPr>
                <w:rFonts w:cs="Calibri"/>
              </w:rPr>
              <w:t xml:space="preserve"> multiplied by the overall observed improvement rate. The expected </w:t>
            </w:r>
            <w:r>
              <w:rPr>
                <w:rFonts w:cs="Calibri"/>
              </w:rPr>
              <w:t xml:space="preserve">number of </w:t>
            </w:r>
            <w:r w:rsidRPr="00C8617E">
              <w:rPr>
                <w:rFonts w:cs="Calibri"/>
              </w:rPr>
              <w:t>improvement</w:t>
            </w:r>
            <w:r>
              <w:rPr>
                <w:rFonts w:cs="Calibri"/>
              </w:rPr>
              <w:t>s</w:t>
            </w:r>
            <w:r w:rsidRPr="00C8617E">
              <w:rPr>
                <w:rFonts w:cs="Calibri"/>
              </w:rPr>
              <w:t xml:space="preserve"> for each hospital </w:t>
            </w:r>
            <w:r>
              <w:rPr>
                <w:rFonts w:cs="Calibri"/>
              </w:rPr>
              <w:t xml:space="preserve">(denominator) </w:t>
            </w:r>
            <w:r w:rsidRPr="00C8617E">
              <w:rPr>
                <w:rFonts w:cs="Calibri"/>
              </w:rPr>
              <w:t xml:space="preserve">was estimated using its patient mix and the average hospital-specific intercept (the average intercept among all hospitals in the sample). The predicted </w:t>
            </w:r>
            <w:r>
              <w:rPr>
                <w:rFonts w:cs="Calibri"/>
              </w:rPr>
              <w:t xml:space="preserve">number of </w:t>
            </w:r>
            <w:r w:rsidRPr="00C8617E">
              <w:rPr>
                <w:rFonts w:cs="Calibri"/>
              </w:rPr>
              <w:t>improvement</w:t>
            </w:r>
            <w:r>
              <w:rPr>
                <w:rFonts w:cs="Calibri"/>
              </w:rPr>
              <w:t>s</w:t>
            </w:r>
            <w:r w:rsidRPr="00C8617E">
              <w:rPr>
                <w:rFonts w:cs="Calibri"/>
              </w:rPr>
              <w:t xml:space="preserve"> for each hospital </w:t>
            </w:r>
            <w:r>
              <w:rPr>
                <w:rFonts w:cs="Calibri"/>
              </w:rPr>
              <w:t xml:space="preserve">(numerator) </w:t>
            </w:r>
            <w:r w:rsidRPr="00C8617E">
              <w:rPr>
                <w:rFonts w:cs="Calibri"/>
              </w:rPr>
              <w:t xml:space="preserve">was estimated given the same patient mix but an estimated hospital-specific intercept. Operationally, the expected </w:t>
            </w:r>
            <w:r>
              <w:rPr>
                <w:rFonts w:cs="Calibri"/>
              </w:rPr>
              <w:t xml:space="preserve">number of </w:t>
            </w:r>
            <w:r w:rsidRPr="00C8617E">
              <w:rPr>
                <w:rFonts w:cs="Calibri"/>
              </w:rPr>
              <w:t>improvement</w:t>
            </w:r>
            <w:r>
              <w:rPr>
                <w:rFonts w:cs="Calibri"/>
              </w:rPr>
              <w:t>s</w:t>
            </w:r>
            <w:r w:rsidRPr="00C8617E">
              <w:rPr>
                <w:rFonts w:cs="Calibri"/>
              </w:rPr>
              <w:t xml:space="preserve"> for each hospital was obtained by summing the expected improvement for all patients in the hospital. The expected </w:t>
            </w:r>
            <w:r w:rsidRPr="00C8617E">
              <w:rPr>
                <w:rFonts w:cs="Calibri"/>
              </w:rPr>
              <w:lastRenderedPageBreak/>
              <w:t xml:space="preserve">improvement for each patient was calculated via the hierarchical model, which applies the estimated regression coefficients to the observed patient characteristics and adds the average of the hospital-specific intercept. The predicted </w:t>
            </w:r>
            <w:r>
              <w:rPr>
                <w:rFonts w:cs="Calibri"/>
              </w:rPr>
              <w:t xml:space="preserve">number of </w:t>
            </w:r>
            <w:r w:rsidRPr="00C8617E">
              <w:rPr>
                <w:rFonts w:cs="Calibri"/>
              </w:rPr>
              <w:t xml:space="preserve">improvement for each hospital was calculated by summing the predicted </w:t>
            </w:r>
            <w:r>
              <w:rPr>
                <w:rFonts w:cs="Calibri"/>
              </w:rPr>
              <w:t>improvement</w:t>
            </w:r>
            <w:r w:rsidRPr="00C8617E">
              <w:rPr>
                <w:rFonts w:cs="Calibri"/>
              </w:rPr>
              <w:t xml:space="preserve"> for all patients in the hospital. The predicted </w:t>
            </w:r>
            <w:r>
              <w:rPr>
                <w:rFonts w:cs="Calibri"/>
              </w:rPr>
              <w:t>improvement</w:t>
            </w:r>
            <w:r w:rsidRPr="00C8617E">
              <w:rPr>
                <w:rFonts w:cs="Calibri"/>
              </w:rPr>
              <w:t xml:space="preserve"> for each patient was calculated through the hierarchical model, which applies the estimated regression coefficients to the patient characteristics observed and adds the hospital-specific intercept.</w:t>
            </w:r>
          </w:p>
          <w:p w14:paraId="3782B737" w14:textId="77777777" w:rsidR="000C4B23" w:rsidRPr="00C8617E" w:rsidRDefault="000C4B23" w:rsidP="000C4B23">
            <w:pPr>
              <w:rPr>
                <w:rFonts w:cs="Calibri"/>
              </w:rPr>
            </w:pPr>
          </w:p>
          <w:p w14:paraId="2A93A21C" w14:textId="77777777" w:rsidR="00BC43C2" w:rsidRDefault="00BC43C2" w:rsidP="000C4B23">
            <w:pPr>
              <w:rPr>
                <w:rFonts w:cs="Calibri"/>
              </w:rPr>
            </w:pPr>
            <w:r w:rsidRPr="00C8617E">
              <w:rPr>
                <w:rFonts w:cs="Calibri"/>
              </w:rPr>
              <w:t>More specifically, we used a hierarchical logistic regression model to account for the natural clustering of observations within hospitals. The model employs a logit link function to link the risk factors to the outcome with a hospital-specific random effect:</w:t>
            </w:r>
          </w:p>
          <w:p w14:paraId="2CBB8DA7" w14:textId="77777777" w:rsidR="000C4B23" w:rsidRPr="00C8617E" w:rsidRDefault="000C4B23" w:rsidP="000C4B23">
            <w:pPr>
              <w:rPr>
                <w:rFonts w:cs="Calibri"/>
              </w:rPr>
            </w:pPr>
          </w:p>
          <w:p w14:paraId="3235FCE3" w14:textId="7EF589B5" w:rsidR="000C4B23" w:rsidRDefault="00BC43C2" w:rsidP="000C4B23">
            <w:pPr>
              <w:pStyle w:val="Default"/>
              <w:rPr>
                <w:rFonts w:ascii="Calibri" w:hAnsi="Calibri" w:cs="Calibri"/>
                <w:sz w:val="22"/>
                <w:szCs w:val="22"/>
              </w:rPr>
            </w:pPr>
            <w:r w:rsidRPr="00C8617E">
              <w:rPr>
                <w:rFonts w:ascii="Calibri" w:hAnsi="Calibri" w:cs="Calibri"/>
                <w:sz w:val="22"/>
                <w:szCs w:val="22"/>
              </w:rPr>
              <w:t xml:space="preserve">Let </w:t>
            </w:r>
            <m:oMath>
              <m:sSub>
                <m:sSubPr>
                  <m:ctrlPr>
                    <w:rPr>
                      <w:rFonts w:ascii="Cambria Math" w:hAnsi="Cambria Math" w:cs="Calibri"/>
                      <w:i/>
                      <w:sz w:val="22"/>
                      <w:szCs w:val="22"/>
                    </w:rPr>
                  </m:ctrlPr>
                </m:sSubPr>
                <m:e>
                  <m:r>
                    <w:rPr>
                      <w:rFonts w:ascii="Cambria Math" w:hAnsi="Cambria Math" w:cs="Calibri"/>
                      <w:sz w:val="22"/>
                      <w:szCs w:val="22"/>
                    </w:rPr>
                    <m:t>Y</m:t>
                  </m:r>
                </m:e>
                <m:sub>
                  <m:r>
                    <w:rPr>
                      <w:rFonts w:ascii="Cambria Math" w:hAnsi="Cambria Math" w:cs="Calibri"/>
                      <w:sz w:val="22"/>
                      <w:szCs w:val="22"/>
                    </w:rPr>
                    <m:t>ij</m:t>
                  </m:r>
                </m:sub>
              </m:sSub>
            </m:oMath>
            <w:r w:rsidRPr="00C8617E">
              <w:rPr>
                <w:rFonts w:ascii="Calibri" w:hAnsi="Calibri" w:cs="Calibri"/>
                <w:sz w:val="22"/>
                <w:szCs w:val="22"/>
              </w:rPr>
              <w:t xml:space="preserve"> denote the outcome (equal to 1 if patient has an improvement, zero otherwise) for patient </w:t>
            </w:r>
            <w:r w:rsidRPr="00C8617E">
              <w:rPr>
                <w:rFonts w:ascii="Calibri" w:hAnsi="Calibri" w:cs="Calibri"/>
                <w:i/>
                <w:sz w:val="22"/>
                <w:szCs w:val="22"/>
              </w:rPr>
              <w:t>i</w:t>
            </w:r>
            <w:r w:rsidRPr="00C8617E">
              <w:rPr>
                <w:rFonts w:ascii="Calibri" w:hAnsi="Calibri" w:cs="Calibri"/>
                <w:sz w:val="22"/>
                <w:szCs w:val="22"/>
              </w:rPr>
              <w:t xml:space="preserve"> at hospital </w:t>
            </w:r>
            <w:r w:rsidRPr="00C8617E">
              <w:rPr>
                <w:rFonts w:ascii="Calibri" w:hAnsi="Calibri" w:cs="Calibri"/>
                <w:i/>
                <w:iCs/>
                <w:sz w:val="22"/>
                <w:szCs w:val="22"/>
              </w:rPr>
              <w:t>j</w:t>
            </w:r>
            <w:r w:rsidRPr="00C8617E">
              <w:rPr>
                <w:rFonts w:ascii="Calibri" w:hAnsi="Calibri" w:cs="Calibri"/>
                <w:sz w:val="22"/>
                <w:szCs w:val="22"/>
              </w:rPr>
              <w:t xml:space="preserve">; </w:t>
            </w:r>
            <m:oMath>
              <m:sSub>
                <m:sSubPr>
                  <m:ctrlPr>
                    <w:rPr>
                      <w:rFonts w:ascii="Cambria Math" w:hAnsi="Cambria Math" w:cs="Calibri"/>
                      <w:i/>
                      <w:sz w:val="22"/>
                      <w:szCs w:val="22"/>
                    </w:rPr>
                  </m:ctrlPr>
                </m:sSubPr>
                <m:e>
                  <m:r>
                    <w:rPr>
                      <w:rFonts w:ascii="Cambria Math" w:hAnsi="Cambria Math" w:cs="Calibri"/>
                      <w:sz w:val="22"/>
                      <w:szCs w:val="22"/>
                    </w:rPr>
                    <m:t>Z</m:t>
                  </m:r>
                </m:e>
                <m:sub>
                  <m:r>
                    <w:rPr>
                      <w:rFonts w:ascii="Cambria Math" w:hAnsi="Cambria Math" w:cs="Calibri"/>
                      <w:sz w:val="22"/>
                      <w:szCs w:val="22"/>
                    </w:rPr>
                    <m:t>ij</m:t>
                  </m:r>
                </m:sub>
              </m:sSub>
            </m:oMath>
            <w:r w:rsidRPr="00C8617E">
              <w:rPr>
                <w:rFonts w:ascii="Calibri" w:hAnsi="Calibri" w:cs="Calibri"/>
                <w:sz w:val="22"/>
                <w:szCs w:val="22"/>
              </w:rPr>
              <w:t xml:space="preserve"> denotes a set of risk factors</w:t>
            </w:r>
            <w:r w:rsidR="00C16B96">
              <w:rPr>
                <w:rFonts w:ascii="Calibri" w:hAnsi="Calibri" w:cs="Calibri"/>
                <w:sz w:val="22"/>
                <w:szCs w:val="22"/>
              </w:rPr>
              <w:t xml:space="preserve"> for patient </w:t>
            </w:r>
            <m:oMath>
              <m:r>
                <w:rPr>
                  <w:rFonts w:ascii="Cambria Math" w:hAnsi="Cambria Math" w:cs="Calibri"/>
                  <w:sz w:val="22"/>
                  <w:szCs w:val="22"/>
                </w:rPr>
                <m:t>i</m:t>
              </m:r>
            </m:oMath>
            <w:r w:rsidR="00C16B96">
              <w:rPr>
                <w:rFonts w:ascii="Calibri" w:hAnsi="Calibri" w:cs="Calibri"/>
                <w:sz w:val="22"/>
                <w:szCs w:val="22"/>
              </w:rPr>
              <w:t xml:space="preserve"> at hospital </w:t>
            </w:r>
            <m:oMath>
              <m:r>
                <w:rPr>
                  <w:rFonts w:ascii="Cambria Math" w:hAnsi="Cambria Math" w:cs="Calibri"/>
                  <w:sz w:val="22"/>
                  <w:szCs w:val="22"/>
                </w:rPr>
                <m:t>j</m:t>
              </m:r>
            </m:oMath>
            <w:r w:rsidR="00C16B96" w:rsidRPr="00F65F70">
              <w:rPr>
                <w:rFonts w:ascii="Calibri" w:hAnsi="Calibri" w:cs="Calibri"/>
                <w:sz w:val="22"/>
                <w:szCs w:val="22"/>
              </w:rPr>
              <w:t xml:space="preserve">, </w:t>
            </w:r>
            <m:oMath>
              <m:sSub>
                <m:sSubPr>
                  <m:ctrlPr>
                    <w:rPr>
                      <w:rFonts w:ascii="Cambria Math" w:hAnsi="Cambria Math" w:cstheme="minorHAnsi"/>
                      <w:i/>
                      <w:sz w:val="22"/>
                      <w:szCs w:val="22"/>
                    </w:rPr>
                  </m:ctrlPr>
                </m:sSubPr>
                <m:e>
                  <m:r>
                    <w:rPr>
                      <w:rFonts w:ascii="Cambria Math" w:hAnsi="Cambria Math" w:cstheme="minorHAnsi"/>
                      <w:sz w:val="22"/>
                      <w:szCs w:val="22"/>
                    </w:rPr>
                    <m:t>n</m:t>
                  </m:r>
                </m:e>
                <m:sub>
                  <m:r>
                    <w:rPr>
                      <w:rFonts w:ascii="Cambria Math" w:hAnsi="Cambria Math" w:cstheme="minorHAnsi"/>
                      <w:sz w:val="22"/>
                      <w:szCs w:val="22"/>
                    </w:rPr>
                    <m:t>j</m:t>
                  </m:r>
                </m:sub>
              </m:sSub>
            </m:oMath>
            <w:r w:rsidR="00C16B96" w:rsidRPr="00F65F70">
              <w:rPr>
                <w:rFonts w:asciiTheme="minorHAnsi" w:hAnsiTheme="minorHAnsi" w:cstheme="minorHAnsi"/>
                <w:sz w:val="22"/>
                <w:szCs w:val="22"/>
              </w:rPr>
              <w:t xml:space="preserve"> </w:t>
            </w:r>
            <w:r w:rsidRPr="00D46AEE">
              <w:rPr>
                <w:rFonts w:asciiTheme="minorHAnsi" w:hAnsiTheme="minorHAnsi" w:cstheme="minorHAnsi"/>
                <w:sz w:val="22"/>
                <w:szCs w:val="22"/>
              </w:rPr>
              <w:t xml:space="preserve">is the number of index admissions to </w:t>
            </w:r>
            <w:r w:rsidR="00C16B96" w:rsidRPr="00F65F70">
              <w:rPr>
                <w:rFonts w:asciiTheme="minorHAnsi" w:hAnsiTheme="minorHAnsi" w:cstheme="minorHAnsi"/>
                <w:sz w:val="22"/>
                <w:szCs w:val="22"/>
              </w:rPr>
              <w:t xml:space="preserve">hospital </w:t>
            </w:r>
            <m:oMath>
              <m:r>
                <w:rPr>
                  <w:rFonts w:ascii="Cambria Math" w:hAnsi="Cambria Math" w:cstheme="minorHAnsi"/>
                  <w:sz w:val="22"/>
                  <w:szCs w:val="22"/>
                </w:rPr>
                <m:t>j</m:t>
              </m:r>
            </m:oMath>
            <w:r w:rsidRPr="00D46AEE">
              <w:rPr>
                <w:rFonts w:asciiTheme="minorHAnsi" w:hAnsiTheme="minorHAnsi" w:cstheme="minorHAnsi"/>
                <w:sz w:val="22"/>
                <w:szCs w:val="22"/>
              </w:rPr>
              <w:t>.</w:t>
            </w:r>
            <w:r w:rsidRPr="00C8617E">
              <w:rPr>
                <w:rFonts w:ascii="Calibri" w:hAnsi="Calibri" w:cs="Calibri"/>
                <w:sz w:val="22"/>
                <w:szCs w:val="22"/>
              </w:rPr>
              <w:t xml:space="preserve"> We assume the outcome is related linearly to the covariates via a logit function:</w:t>
            </w:r>
          </w:p>
          <w:p w14:paraId="41ECB9E0" w14:textId="77777777" w:rsidR="00BC43C2" w:rsidRPr="00D46AEE" w:rsidRDefault="00BC43C2" w:rsidP="00BC43C2">
            <w:pPr>
              <w:pStyle w:val="Default"/>
              <w:spacing w:before="120" w:after="120" w:line="276" w:lineRule="auto"/>
              <w:rPr>
                <w:rFonts w:ascii="Calibri" w:hAnsi="Calibri" w:cs="Calibri"/>
                <w:sz w:val="22"/>
              </w:rPr>
            </w:pPr>
            <w:r w:rsidRPr="00D46AEE">
              <w:rPr>
                <w:rFonts w:ascii="Calibri" w:hAnsi="Calibri" w:cs="Calibri"/>
                <w:sz w:val="22"/>
              </w:rPr>
              <w:t>Logistic Regression Model</w:t>
            </w:r>
          </w:p>
          <w:p w14:paraId="31A39C52" w14:textId="2DD33EFA" w:rsidR="00BC43C2" w:rsidRDefault="00BC43C2" w:rsidP="00BC43C2">
            <w:pPr>
              <w:pStyle w:val="Default"/>
              <w:spacing w:before="120" w:after="120" w:line="276" w:lineRule="auto"/>
              <w:jc w:val="center"/>
              <w:rPr>
                <w:rFonts w:ascii="Calibri" w:hAnsi="Calibri" w:cs="Calibri"/>
                <w:color w:val="000000"/>
              </w:rPr>
            </w:pPr>
            <m:oMath>
              <m:r>
                <m:rPr>
                  <m:nor/>
                </m:rPr>
                <w:rPr>
                  <w:rFonts w:ascii="Cambria Math" w:hAnsi="Cambria Math"/>
                </w:rPr>
                <m:t>logit</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Prob(</m:t>
                      </m:r>
                      <m:ctrlPr>
                        <w:rPr>
                          <w:rFonts w:ascii="Cambria Math" w:hAnsi="Cambria Math"/>
                          <w:i/>
                        </w:rPr>
                      </m:ctrlPr>
                    </m:fName>
                    <m:e>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e>
                  </m:func>
                  <m:r>
                    <w:rPr>
                      <w:rFonts w:ascii="Cambria Math" w:hAnsi="Cambria Math"/>
                    </w:rPr>
                    <m:t>)</m:t>
                  </m:r>
                </m:e>
              </m:d>
              <m:r>
                <w:rPr>
                  <w:rFonts w:ascii="Cambria Math" w:hAnsi="Cambria Math"/>
                </w:rPr>
                <m:t>=α+</m:t>
              </m:r>
              <m:r>
                <m:rPr>
                  <m:sty m:val="bi"/>
                </m:rPr>
                <w:rPr>
                  <w:rFonts w:ascii="Cambria Math" w:hAnsi="Cambria Math"/>
                </w:rPr>
                <m:t>β</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oMath>
            <w:r>
              <w:rPr>
                <w:rFonts w:ascii="Calibri" w:hAnsi="Calibri" w:cs="Calibri"/>
                <w:color w:val="000000"/>
              </w:rPr>
              <w:tab/>
            </w:r>
            <w:r>
              <w:rPr>
                <w:rFonts w:ascii="Calibri" w:hAnsi="Calibri" w:cs="Calibri"/>
                <w:color w:val="000000"/>
              </w:rPr>
              <w:tab/>
            </w:r>
            <w:r>
              <w:rPr>
                <w:rFonts w:ascii="Calibri" w:hAnsi="Calibri" w:cs="Calibri"/>
                <w:color w:val="000000"/>
              </w:rPr>
              <w:tab/>
            </w:r>
            <w:r w:rsidR="008C19CC">
              <w:rPr>
                <w:rFonts w:ascii="Calibri" w:hAnsi="Calibri" w:cs="Calibri"/>
                <w:color w:val="000000"/>
              </w:rPr>
              <w:t xml:space="preserve">               </w:t>
            </w:r>
            <w:r w:rsidRPr="000C4B23">
              <w:rPr>
                <w:rFonts w:asciiTheme="minorHAnsi" w:hAnsiTheme="minorHAnsi" w:cs="Calibri"/>
                <w:color w:val="000000"/>
                <w:sz w:val="22"/>
                <w:szCs w:val="22"/>
              </w:rPr>
              <w:t>(1)</w:t>
            </w:r>
          </w:p>
          <w:p w14:paraId="06F453BC" w14:textId="77777777" w:rsidR="00C16B96" w:rsidRPr="00D46AEE" w:rsidRDefault="00C16B96" w:rsidP="00C16B96">
            <w:pPr>
              <w:pStyle w:val="Default"/>
              <w:spacing w:before="120" w:after="120" w:line="276" w:lineRule="auto"/>
              <w:rPr>
                <w:rFonts w:ascii="Calibri" w:hAnsi="Calibri" w:cs="Calibri"/>
                <w:sz w:val="22"/>
              </w:rPr>
            </w:pPr>
            <w:r w:rsidRPr="00D46AEE">
              <w:rPr>
                <w:rFonts w:ascii="Calibri" w:hAnsi="Calibri" w:cs="Calibri"/>
                <w:sz w:val="22"/>
              </w:rPr>
              <w:t xml:space="preserve">and </w:t>
            </w:r>
            <m:oMath>
              <m:sSub>
                <m:sSubPr>
                  <m:ctrlPr>
                    <w:rPr>
                      <w:rFonts w:ascii="Cambria Math" w:hAnsi="Cambria Math" w:cs="Calibri"/>
                      <w:i/>
                      <w:sz w:val="22"/>
                    </w:rPr>
                  </m:ctrlPr>
                </m:sSubPr>
                <m:e>
                  <m:r>
                    <m:rPr>
                      <m:sty m:val="bi"/>
                    </m:rPr>
                    <w:rPr>
                      <w:rFonts w:ascii="Cambria Math" w:hAnsi="Cambria Math" w:cs="Calibri"/>
                      <w:sz w:val="22"/>
                    </w:rPr>
                    <m:t>Z</m:t>
                  </m:r>
                </m:e>
                <m:sub>
                  <m:r>
                    <w:rPr>
                      <w:rFonts w:ascii="Cambria Math" w:hAnsi="Cambria Math" w:cs="Calibri"/>
                      <w:sz w:val="22"/>
                    </w:rPr>
                    <m:t>ij</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Z</m:t>
                  </m:r>
                </m:e>
                <m:sub>
                  <m:r>
                    <w:rPr>
                      <w:rFonts w:ascii="Cambria Math" w:hAnsi="Cambria Math" w:cs="Calibri"/>
                      <w:sz w:val="22"/>
                    </w:rPr>
                    <m:t>1ij</m:t>
                  </m:r>
                </m:sub>
              </m:sSub>
              <m:r>
                <w:rPr>
                  <w:rFonts w:ascii="Cambria Math" w:hAnsi="Cambria Math" w:cs="Calibri"/>
                  <w:sz w:val="22"/>
                </w:rPr>
                <m:t xml:space="preserve">, </m:t>
              </m:r>
              <m:sSub>
                <m:sSubPr>
                  <m:ctrlPr>
                    <w:rPr>
                      <w:rFonts w:ascii="Cambria Math" w:hAnsi="Cambria Math" w:cs="Calibri"/>
                      <w:i/>
                      <w:sz w:val="22"/>
                    </w:rPr>
                  </m:ctrlPr>
                </m:sSubPr>
                <m:e>
                  <m:r>
                    <w:rPr>
                      <w:rFonts w:ascii="Cambria Math" w:hAnsi="Cambria Math" w:cs="Calibri"/>
                      <w:sz w:val="22"/>
                    </w:rPr>
                    <m:t>Z</m:t>
                  </m:r>
                </m:e>
                <m:sub>
                  <m:r>
                    <w:rPr>
                      <w:rFonts w:ascii="Cambria Math" w:hAnsi="Cambria Math" w:cs="Calibri"/>
                      <w:sz w:val="22"/>
                    </w:rPr>
                    <m:t>2ij</m:t>
                  </m:r>
                </m:sub>
              </m:sSub>
              <m:r>
                <w:rPr>
                  <w:rFonts w:ascii="Cambria Math" w:hAnsi="Cambria Math" w:cs="Calibri"/>
                  <w:sz w:val="22"/>
                </w:rPr>
                <m:t>, …,</m:t>
              </m:r>
              <m:sSub>
                <m:sSubPr>
                  <m:ctrlPr>
                    <w:rPr>
                      <w:rFonts w:ascii="Cambria Math" w:hAnsi="Cambria Math" w:cs="Calibri"/>
                      <w:i/>
                      <w:sz w:val="22"/>
                    </w:rPr>
                  </m:ctrlPr>
                </m:sSubPr>
                <m:e>
                  <m:r>
                    <w:rPr>
                      <w:rFonts w:ascii="Cambria Math" w:hAnsi="Cambria Math" w:cs="Calibri"/>
                      <w:sz w:val="22"/>
                    </w:rPr>
                    <m:t>Z</m:t>
                  </m:r>
                </m:e>
                <m:sub>
                  <m:r>
                    <w:rPr>
                      <w:rFonts w:ascii="Cambria Math" w:hAnsi="Cambria Math" w:cs="Calibri"/>
                      <w:sz w:val="22"/>
                    </w:rPr>
                    <m:t>pij</m:t>
                  </m:r>
                </m:sub>
              </m:sSub>
              <m:r>
                <w:rPr>
                  <w:rFonts w:ascii="Cambria Math" w:hAnsi="Cambria Math" w:cs="Calibri"/>
                  <w:sz w:val="22"/>
                </w:rPr>
                <m:t>)</m:t>
              </m:r>
            </m:oMath>
            <w:r w:rsidRPr="00D46AEE">
              <w:rPr>
                <w:rFonts w:ascii="Calibri" w:hAnsi="Calibri" w:cs="Calibri"/>
                <w:sz w:val="22"/>
              </w:rPr>
              <w:t xml:space="preserve"> is a set of </w:t>
            </w:r>
            <m:oMath>
              <m:r>
                <w:rPr>
                  <w:rFonts w:ascii="Cambria Math" w:hAnsi="Cambria Math" w:cs="Calibri"/>
                  <w:sz w:val="22"/>
                </w:rPr>
                <m:t>p</m:t>
              </m:r>
            </m:oMath>
            <w:r w:rsidRPr="00D46AEE">
              <w:rPr>
                <w:rFonts w:ascii="Calibri" w:hAnsi="Calibri" w:cs="Calibri"/>
                <w:sz w:val="22"/>
              </w:rPr>
              <w:t xml:space="preserve"> patient-specific covariates.</w:t>
            </w:r>
          </w:p>
          <w:p w14:paraId="63F13418" w14:textId="0DB1B619" w:rsidR="000C4B23" w:rsidRPr="000C4B23" w:rsidRDefault="00BC43C2" w:rsidP="000C4B23">
            <w:pPr>
              <w:jc w:val="both"/>
              <w:rPr>
                <w:rFonts w:cs="Calibri"/>
              </w:rPr>
            </w:pPr>
            <w:r w:rsidRPr="00BC275A">
              <w:rPr>
                <w:rFonts w:cs="Calibri"/>
              </w:rPr>
              <w:t>To account for the natural clustering of observations within hospitals, we estimate a hierarchical logistic regression model that links the risk factors to the same outcomes and a hospital-specific random effect</w:t>
            </w:r>
            <w:r>
              <w:rPr>
                <w:rFonts w:cs="Calibri"/>
              </w:rPr>
              <w:t>.</w:t>
            </w:r>
          </w:p>
          <w:p w14:paraId="195F0A35" w14:textId="77777777" w:rsidR="00BC43C2" w:rsidRPr="000C4B23" w:rsidRDefault="00BC43C2" w:rsidP="000C4B23">
            <w:pPr>
              <w:spacing w:before="120" w:after="120"/>
              <w:rPr>
                <w:rFonts w:cs="Calibri"/>
              </w:rPr>
            </w:pPr>
            <w:r w:rsidRPr="000C4B23">
              <w:rPr>
                <w:rFonts w:cs="Calibri"/>
              </w:rPr>
              <w:t>Hierarchical Logistic Regression Model</w:t>
            </w:r>
          </w:p>
          <w:p w14:paraId="6E175D48" w14:textId="77777777" w:rsidR="00BC43C2" w:rsidRDefault="00BC43C2" w:rsidP="00BC43C2">
            <w:pPr>
              <w:pStyle w:val="Default"/>
              <w:spacing w:before="120" w:after="120" w:line="276" w:lineRule="auto"/>
              <w:jc w:val="center"/>
              <w:rPr>
                <w:rFonts w:ascii="Calibri" w:hAnsi="Calibri" w:cs="Calibri"/>
                <w:color w:val="000000"/>
              </w:rPr>
            </w:pPr>
            <m:oMath>
              <m:r>
                <w:rPr>
                  <w:rFonts w:ascii="Cambria Math" w:hAnsi="Cambria Math"/>
                </w:rPr>
                <m:t>logit</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Prob(</m:t>
                      </m:r>
                      <m:ctrlPr>
                        <w:rPr>
                          <w:rFonts w:ascii="Cambria Math" w:hAnsi="Cambria Math"/>
                          <w:i/>
                        </w:rPr>
                      </m:ctrlPr>
                    </m:fName>
                    <m:e>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=1</m:t>
                      </m:r>
                    </m:e>
                  </m:func>
                  <m:r>
                    <w:rPr>
                      <w:rFonts w:ascii="Cambria Math" w:hAnsi="Cambria Math"/>
                    </w:rPr>
                    <m:t>)</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m:t>
              </m:r>
              <m:r>
                <m:rPr>
                  <m:sty m:val="bi"/>
                </m:rPr>
                <w:rPr>
                  <w:rFonts w:ascii="Cambria Math" w:hAnsi="Cambria Math"/>
                </w:rPr>
                <m:t>β</m:t>
              </m:r>
              <m:sSub>
                <m:sSubPr>
                  <m:ctrlPr>
                    <w:rPr>
                      <w:rFonts w:ascii="Cambria Math" w:hAnsi="Cambria Math"/>
                      <w:i/>
                    </w:rPr>
                  </m:ctrlPr>
                </m:sSubPr>
                <m:e>
                  <m:r>
                    <m:rPr>
                      <m:sty m:val="bi"/>
                    </m:rPr>
                    <w:rPr>
                      <w:rFonts w:ascii="Cambria Math" w:hAnsi="Cambria Math"/>
                    </w:rPr>
                    <m:t>Z</m:t>
                  </m:r>
                </m:e>
                <m:sub>
                  <m:r>
                    <w:rPr>
                      <w:rFonts w:ascii="Cambria Math" w:hAnsi="Cambria Math"/>
                    </w:rPr>
                    <m:t>ij</m:t>
                  </m:r>
                </m:sub>
              </m:sSub>
            </m:oMath>
            <w:r>
              <w:rPr>
                <w:rFonts w:ascii="Calibri" w:hAnsi="Calibri" w:cs="Calibri"/>
                <w:color w:val="000000"/>
              </w:rPr>
              <w:tab/>
            </w:r>
            <w:r>
              <w:rPr>
                <w:rFonts w:ascii="Calibri" w:hAnsi="Calibri" w:cs="Calibri"/>
                <w:color w:val="000000"/>
              </w:rPr>
              <w:tab/>
            </w:r>
            <w:r>
              <w:rPr>
                <w:rFonts w:ascii="Calibri" w:hAnsi="Calibri" w:cs="Calibri"/>
                <w:color w:val="000000"/>
              </w:rPr>
              <w:tab/>
            </w:r>
            <w:r w:rsidRPr="000C4B23">
              <w:rPr>
                <w:rFonts w:asciiTheme="minorHAnsi" w:hAnsiTheme="minorHAnsi" w:cs="Calibri"/>
                <w:color w:val="000000"/>
                <w:sz w:val="22"/>
                <w:szCs w:val="22"/>
              </w:rPr>
              <w:t>(2)</w:t>
            </w:r>
          </w:p>
          <w:p w14:paraId="11627EAE" w14:textId="68BF4A1A" w:rsidR="00BC43C2" w:rsidRDefault="00BC43C2" w:rsidP="00BC43C2">
            <w:pPr>
              <w:jc w:val="center"/>
              <w:rPr>
                <w:rFonts w:cs="Calibri"/>
              </w:rPr>
            </w:pPr>
            <w:r w:rsidRPr="000005D8">
              <w:t>where</w:t>
            </w:r>
            <w:r w:rsidRPr="0088058B">
              <w:rPr>
                <w:i/>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=μ+</m:t>
              </m:r>
              <m:sSub>
                <m:sSubPr>
                  <m:ctrlPr>
                    <w:rPr>
                      <w:rFonts w:ascii="Cambria Math" w:hAnsi="Cambria Math"/>
                      <w:i/>
                    </w:rPr>
                  </m:ctrlPr>
                </m:sSubPr>
                <m:e>
                  <m:r>
                    <w:rPr>
                      <w:rFonts w:ascii="Cambria Math" w:hAnsi="Cambria Math"/>
                    </w:rPr>
                    <m:t>ω</m:t>
                  </m:r>
                </m:e>
                <m:sub>
                  <m:r>
                    <w:rPr>
                      <w:rFonts w:ascii="Cambria Math" w:hAnsi="Cambria Math"/>
                    </w:rPr>
                    <m:t>j</m:t>
                  </m:r>
                </m:sub>
              </m:sSub>
              <m:r>
                <w:rPr>
                  <w:rFonts w:ascii="Cambria Math" w:hAnsi="Cambria Math"/>
                </w:rPr>
                <m:t xml:space="preserve">; </m:t>
              </m:r>
              <m:sSub>
                <m:sSubPr>
                  <m:ctrlPr>
                    <w:rPr>
                      <w:rFonts w:ascii="Cambria Math" w:hAnsi="Cambria Math"/>
                      <w:i/>
                    </w:rPr>
                  </m:ctrlPr>
                </m:sSubPr>
                <m:e>
                  <m:r>
                    <w:rPr>
                      <w:rFonts w:ascii="Cambria Math" w:hAnsi="Cambria Math"/>
                    </w:rPr>
                    <m:t>ω</m:t>
                  </m:r>
                </m:e>
                <m:sub>
                  <m:r>
                    <w:rPr>
                      <w:rFonts w:ascii="Cambria Math" w:hAnsi="Cambria Math"/>
                    </w:rPr>
                    <m:t>j</m:t>
                  </m:r>
                </m:sub>
              </m:sSub>
              <m:r>
                <w:rPr>
                  <w:rFonts w:ascii="Cambria Math" w:hAnsi="Cambria Math"/>
                </w:rPr>
                <m:t xml:space="preserve">~N(0, </m:t>
              </m:r>
              <m:sSup>
                <m:sSupPr>
                  <m:ctrlPr>
                    <w:rPr>
                      <w:rFonts w:ascii="Cambria Math" w:hAnsi="Cambria Math"/>
                      <w:i/>
                    </w:rPr>
                  </m:ctrlPr>
                </m:sSupPr>
                <m:e>
                  <m:r>
                    <w:rPr>
                      <w:rFonts w:ascii="Cambria Math" w:hAnsi="Cambria Math"/>
                    </w:rPr>
                    <m:t>τ</m:t>
                  </m:r>
                </m:e>
                <m:sup>
                  <m:r>
                    <w:rPr>
                      <w:rFonts w:ascii="Cambria Math" w:hAnsi="Cambria Math"/>
                    </w:rPr>
                    <m:t>2</m:t>
                  </m:r>
                </m:sup>
              </m:sSup>
              <m:r>
                <w:rPr>
                  <w:rFonts w:ascii="Cambria Math" w:hAnsi="Cambria Math"/>
                </w:rPr>
                <m:t>)</m:t>
              </m:r>
              <m:r>
                <m:rPr>
                  <m:sty m:val="p"/>
                </m:rPr>
                <w:rPr>
                  <w:rFonts w:ascii="Cambria Math" w:hAnsi="Cambria Math" w:cs="Calibri"/>
                </w:rPr>
                <m:t xml:space="preserve"> </m:t>
              </m:r>
            </m:oMath>
            <w:r w:rsidRPr="00BC275A">
              <w:rPr>
                <w:rFonts w:cs="Calibri"/>
              </w:rPr>
              <w:t xml:space="preserve"> </w:t>
            </w:r>
            <w:r>
              <w:rPr>
                <w:rFonts w:cs="Calibri"/>
              </w:rPr>
              <w:tab/>
            </w:r>
            <w:r>
              <w:rPr>
                <w:rFonts w:cs="Calibri"/>
              </w:rPr>
              <w:tab/>
            </w:r>
            <w:r>
              <w:rPr>
                <w:rFonts w:cs="Calibri"/>
              </w:rPr>
              <w:tab/>
            </w:r>
            <w:r w:rsidRPr="00BC275A">
              <w:rPr>
                <w:rFonts w:cs="Calibri"/>
              </w:rPr>
              <w:t>(3)</w:t>
            </w:r>
          </w:p>
          <w:p w14:paraId="200110E0" w14:textId="77777777" w:rsidR="000C4B23" w:rsidRDefault="000C4B23" w:rsidP="000C4B23">
            <w:pPr>
              <w:rPr>
                <w:rFonts w:cs="Calibri"/>
              </w:rPr>
            </w:pPr>
          </w:p>
          <w:p w14:paraId="1CC1E229" w14:textId="5F8E39C3" w:rsidR="00BC43C2" w:rsidRDefault="005F246B" w:rsidP="000C4B23">
            <w:pPr>
              <w:rPr>
                <w:rFonts w:cs="Calibri"/>
              </w:rPr>
            </w:pPr>
            <w:r w:rsidRPr="00BC275A">
              <w:rPr>
                <w:rFonts w:cs="Calibri"/>
              </w:rPr>
              <w:t xml:space="preserve">where </w:t>
            </w:r>
            <m:oMath>
              <m:sSub>
                <m:sSubPr>
                  <m:ctrlPr>
                    <w:rPr>
                      <w:rFonts w:ascii="Cambria Math" w:hAnsi="Cambria Math" w:cs="Calibri"/>
                      <w:i/>
                    </w:rPr>
                  </m:ctrlPr>
                </m:sSubPr>
                <m:e>
                  <m:r>
                    <w:rPr>
                      <w:rFonts w:ascii="Cambria Math" w:hAnsi="Cambria Math" w:cs="Calibri"/>
                    </w:rPr>
                    <m:t>α</m:t>
                  </m:r>
                </m:e>
                <m:sub>
                  <m:r>
                    <w:rPr>
                      <w:rFonts w:ascii="Cambria Math" w:hAnsi="Cambria Math" w:cs="Calibri"/>
                    </w:rPr>
                    <m:t>j</m:t>
                  </m:r>
                </m:sub>
              </m:sSub>
            </m:oMath>
            <w:r w:rsidR="00BC43C2" w:rsidRPr="00BC275A">
              <w:rPr>
                <w:rFonts w:cs="Calibri"/>
              </w:rPr>
              <w:t>represents the hospital-specific intercept</w:t>
            </w:r>
            <w:r w:rsidRPr="00BC275A">
              <w:rPr>
                <w:rFonts w:cs="Calibri"/>
              </w:rPr>
              <w:t xml:space="preserve">, </w:t>
            </w:r>
            <m:oMath>
              <m:sSub>
                <m:sSubPr>
                  <m:ctrlPr>
                    <w:rPr>
                      <w:rFonts w:ascii="Cambria Math" w:hAnsi="Cambria Math" w:cs="Calibri"/>
                      <w:b/>
                      <w:i/>
                    </w:rPr>
                  </m:ctrlPr>
                </m:sSubPr>
                <m:e>
                  <m:r>
                    <m:rPr>
                      <m:sty m:val="bi"/>
                    </m:rPr>
                    <w:rPr>
                      <w:rFonts w:ascii="Cambria Math" w:hAnsi="Cambria Math" w:cs="Calibri"/>
                    </w:rPr>
                    <m:t>Z</m:t>
                  </m:r>
                </m:e>
                <m:sub>
                  <m:r>
                    <w:rPr>
                      <w:rFonts w:ascii="Cambria Math" w:hAnsi="Cambria Math" w:cs="Calibri"/>
                    </w:rPr>
                    <m:t>ij</m:t>
                  </m:r>
                </m:sub>
              </m:sSub>
            </m:oMath>
            <w:r w:rsidR="00BC43C2" w:rsidRPr="00BC275A">
              <w:rPr>
                <w:rFonts w:cs="Calibri"/>
              </w:rPr>
              <w:t xml:space="preserve">is defined as above, μ </w:t>
            </w:r>
            <w:r w:rsidR="00BC43C2">
              <w:rPr>
                <w:rFonts w:cs="Calibri"/>
              </w:rPr>
              <w:t xml:space="preserve">is </w:t>
            </w:r>
            <w:r w:rsidR="00BC43C2" w:rsidRPr="00BC275A">
              <w:rPr>
                <w:rFonts w:cs="Calibri"/>
              </w:rPr>
              <w:t xml:space="preserve">the adjusted average </w:t>
            </w:r>
            <w:r w:rsidR="00BC43C2">
              <w:rPr>
                <w:rFonts w:cs="Calibri"/>
              </w:rPr>
              <w:t>intercept</w:t>
            </w:r>
            <w:r w:rsidR="00BC43C2" w:rsidRPr="00BC275A">
              <w:rPr>
                <w:rFonts w:cs="Calibri"/>
              </w:rPr>
              <w:t xml:space="preserve"> over all hospitals in the sample</w:t>
            </w:r>
            <w:r w:rsidRPr="00BC275A">
              <w:rPr>
                <w:rFonts w:cs="Calibri"/>
              </w:rPr>
              <w:t>,</w:t>
            </w:r>
            <w:r w:rsidRPr="007459B9">
              <w:rPr>
                <w:rFonts w:ascii="Cambria Math" w:hAnsi="Cambria Math" w:cs="Cambria Math"/>
              </w:rPr>
              <w:t xml:space="preserve"> </w:t>
            </w:r>
            <m:oMath>
              <m:sSub>
                <m:sSubPr>
                  <m:ctrlPr>
                    <w:rPr>
                      <w:rFonts w:ascii="Cambria Math" w:hAnsi="Cambria Math" w:cs="Cambria Math"/>
                      <w:i/>
                    </w:rPr>
                  </m:ctrlPr>
                </m:sSubPr>
                <m:e>
                  <m:r>
                    <w:rPr>
                      <w:rFonts w:ascii="Cambria Math" w:hAnsi="Cambria Math" w:cs="Cambria Math"/>
                    </w:rPr>
                    <m:t>ω</m:t>
                  </m:r>
                </m:e>
                <m:sub>
                  <m:r>
                    <w:rPr>
                      <w:rFonts w:ascii="Cambria Math" w:hAnsi="Cambria Math" w:cs="Cambria Math"/>
                    </w:rPr>
                    <m:t>j</m:t>
                  </m:r>
                </m:sub>
              </m:sSub>
            </m:oMath>
            <w:r>
              <w:rPr>
                <w:rFonts w:ascii="Cambria Math" w:hAnsi="Cambria Math" w:cs="Cambria Math"/>
              </w:rPr>
              <w:t xml:space="preserve"> </w:t>
            </w:r>
            <w:r w:rsidR="00BC43C2">
              <w:rPr>
                <w:rFonts w:ascii="Cambria Math" w:hAnsi="Cambria Math" w:cs="Cambria Math"/>
                <w:sz w:val="16"/>
                <w:szCs w:val="16"/>
              </w:rPr>
              <w:t xml:space="preserve">is </w:t>
            </w:r>
            <w:r w:rsidR="00BC43C2">
              <w:t xml:space="preserve">the hospital-specific intercept deviation from </w:t>
            </w:r>
            <w:r w:rsidR="00BC43C2">
              <w:rPr>
                <w:rFonts w:ascii="Cambria Math" w:hAnsi="Cambria Math" w:cs="Cambria Math"/>
              </w:rPr>
              <w:t xml:space="preserve">𝜇, </w:t>
            </w:r>
            <w:r w:rsidR="00BC43C2" w:rsidRPr="00BC275A">
              <w:rPr>
                <w:rFonts w:cs="Calibri"/>
              </w:rPr>
              <w:t>and τ</w:t>
            </w:r>
            <w:r w:rsidR="00BC43C2" w:rsidRPr="007A1ACB">
              <w:rPr>
                <w:rFonts w:cs="Calibri"/>
                <w:vertAlign w:val="superscript"/>
              </w:rPr>
              <w:t>2</w:t>
            </w:r>
            <w:r w:rsidR="00BC43C2" w:rsidRPr="00BC275A">
              <w:rPr>
                <w:rFonts w:cs="Calibri"/>
              </w:rPr>
              <w:t xml:space="preserve"> </w:t>
            </w:r>
            <w:r w:rsidR="00BC43C2">
              <w:rPr>
                <w:rFonts w:cs="Calibri"/>
              </w:rPr>
              <w:t xml:space="preserve">is </w:t>
            </w:r>
            <w:r w:rsidR="00BC43C2" w:rsidRPr="00BC275A">
              <w:rPr>
                <w:rFonts w:cs="Calibri"/>
              </w:rPr>
              <w:t>the betwe</w:t>
            </w:r>
            <w:r w:rsidR="00BC43C2">
              <w:rPr>
                <w:rFonts w:cs="Calibri"/>
              </w:rPr>
              <w:t>en-hospital variance component.</w:t>
            </w:r>
            <w:r w:rsidR="00BC43C2" w:rsidRPr="00BC275A">
              <w:rPr>
                <w:rFonts w:cs="Calibri"/>
              </w:rPr>
              <w:t xml:space="preserve"> This model separates within-hospital variation from between-hospital variation. Both</w:t>
            </w:r>
            <w:r w:rsidR="009C2DFF">
              <w:rPr>
                <w:rFonts w:cs="Calibri"/>
              </w:rPr>
              <w:t xml:space="preserve"> the</w:t>
            </w:r>
            <w:r w:rsidR="00BC43C2" w:rsidRPr="00BC275A">
              <w:rPr>
                <w:rFonts w:cs="Calibri"/>
              </w:rPr>
              <w:t xml:space="preserve"> hierarc</w:t>
            </w:r>
            <w:r w:rsidR="009C2DFF">
              <w:rPr>
                <w:rFonts w:cs="Calibri"/>
              </w:rPr>
              <w:t>hical logistic regression model and logistic regression model</w:t>
            </w:r>
            <w:r w:rsidR="00BC43C2" w:rsidRPr="00BC275A">
              <w:rPr>
                <w:rFonts w:cs="Calibri"/>
              </w:rPr>
              <w:t xml:space="preserve"> are estimated using the SAS software system (GLIMMIX and LOGISTIC procedures</w:t>
            </w:r>
            <w:r w:rsidR="00BC43C2">
              <w:rPr>
                <w:rFonts w:cs="Calibri"/>
              </w:rPr>
              <w:t>,</w:t>
            </w:r>
            <w:r w:rsidR="00BC43C2" w:rsidRPr="00BC275A">
              <w:rPr>
                <w:rFonts w:cs="Calibri"/>
              </w:rPr>
              <w:t xml:space="preserve"> respectfully).</w:t>
            </w:r>
          </w:p>
          <w:p w14:paraId="5C33534D" w14:textId="77777777" w:rsidR="000C4B23" w:rsidRDefault="000C4B23" w:rsidP="000C4B23">
            <w:pPr>
              <w:rPr>
                <w:rFonts w:cs="Calibri"/>
              </w:rPr>
            </w:pPr>
          </w:p>
          <w:p w14:paraId="127CBF2C" w14:textId="7EA676E3" w:rsidR="00BC43C2" w:rsidRPr="003E7C22" w:rsidRDefault="00BC43C2" w:rsidP="003E7C22">
            <w:pPr>
              <w:autoSpaceDE w:val="0"/>
              <w:autoSpaceDN w:val="0"/>
              <w:adjustRightInd w:val="0"/>
              <w:rPr>
                <w:rFonts w:cstheme="minorHAnsi"/>
                <w:bCs/>
              </w:rPr>
            </w:pPr>
            <w:r w:rsidRPr="00BC275A">
              <w:rPr>
                <w:rFonts w:cs="Calibri"/>
              </w:rPr>
              <w:t>We first fit the logistic regression model described in Equ</w:t>
            </w:r>
            <w:r>
              <w:rPr>
                <w:rFonts w:cs="Calibri"/>
              </w:rPr>
              <w:t xml:space="preserve">ation (1) in selecting covariates in the best model. </w:t>
            </w:r>
            <w:r w:rsidRPr="00BC275A">
              <w:rPr>
                <w:rFonts w:cs="Calibri"/>
              </w:rPr>
              <w:t xml:space="preserve">Having identified the covariates that remained, </w:t>
            </w:r>
            <w:r w:rsidR="003E7C22">
              <w:rPr>
                <w:rFonts w:cs="Calibri"/>
              </w:rPr>
              <w:t xml:space="preserve">we then apply stabilized inverse probability weights (IPW) that are calculated from a propensity score analysis using multinomial logistic regression to model three PRO data response groups: complete PRO submission, incomplete PRO submission, and no response. </w:t>
            </w:r>
            <w:r w:rsidR="003E7C22">
              <w:rPr>
                <w:rFonts w:cstheme="minorHAnsi"/>
                <w:bCs/>
              </w:rPr>
              <w:t xml:space="preserve">(See 2b6.1 for a detailed description of the analytic approach to addressing potential response bias.) </w:t>
            </w:r>
            <w:r w:rsidR="003E7C22">
              <w:rPr>
                <w:rFonts w:cs="Calibri"/>
              </w:rPr>
              <w:t>N</w:t>
            </w:r>
            <w:r w:rsidRPr="00BC275A">
              <w:rPr>
                <w:rFonts w:cs="Calibri"/>
              </w:rPr>
              <w:t>ext</w:t>
            </w:r>
            <w:r w:rsidR="003E7C22">
              <w:rPr>
                <w:rFonts w:cs="Calibri"/>
              </w:rPr>
              <w:t>, we</w:t>
            </w:r>
            <w:r w:rsidRPr="00BC275A">
              <w:rPr>
                <w:rFonts w:cs="Calibri"/>
              </w:rPr>
              <w:t xml:space="preserve"> fit the hierarchical logistic regression model described in Equations (2) and (3)</w:t>
            </w:r>
            <w:r>
              <w:rPr>
                <w:rFonts w:cs="Calibri"/>
              </w:rPr>
              <w:t xml:space="preserve"> to the corresponding parameters</w:t>
            </w:r>
            <w:r w:rsidRPr="00BC275A">
              <w:rPr>
                <w:rFonts w:cs="Calibri"/>
              </w:rPr>
              <w:t>.</w:t>
            </w:r>
            <w:r>
              <w:rPr>
                <w:rFonts w:cs="Calibri"/>
              </w:rPr>
              <w:t xml:space="preserve"> Lastly, we calculate the risk-standardized improvement r</w:t>
            </w:r>
            <w:r w:rsidR="007F3234">
              <w:rPr>
                <w:rFonts w:cs="Calibri"/>
              </w:rPr>
              <w:t>ate in the way described above.</w:t>
            </w:r>
          </w:p>
          <w:p w14:paraId="380F8BB6" w14:textId="77777777" w:rsidR="000C4B23" w:rsidRDefault="000C4B23" w:rsidP="000C4B23">
            <w:pPr>
              <w:rPr>
                <w:rFonts w:cs="Calibri"/>
              </w:rPr>
            </w:pPr>
          </w:p>
          <w:p w14:paraId="2AADF955" w14:textId="5AF14790" w:rsidR="00BC43C2" w:rsidRDefault="00BC43C2" w:rsidP="007C1D0E">
            <w:r>
              <w:rPr>
                <w:rFonts w:cs="Calibri"/>
              </w:rPr>
              <w:t>Thus, at the hospital level, this measure will be calculated and presented as a</w:t>
            </w:r>
            <w:r w:rsidR="00E60B60">
              <w:rPr>
                <w:rFonts w:cs="Calibri"/>
              </w:rPr>
              <w:t xml:space="preserve"> RSIR</w:t>
            </w:r>
            <w:r>
              <w:rPr>
                <w:rFonts w:cs="Calibri"/>
              </w:rPr>
              <w:t xml:space="preserve">, producing a performance measure per hospital which accounts for patient case-mix and </w:t>
            </w:r>
            <w:r w:rsidR="00815429">
              <w:rPr>
                <w:bCs/>
              </w:rPr>
              <w:t xml:space="preserve">applies stabilized inverse probability weighting (IPW) to address potential non-response bias and </w:t>
            </w:r>
            <w:r>
              <w:rPr>
                <w:rFonts w:cs="Calibri"/>
              </w:rPr>
              <w:t xml:space="preserve">represents a measure of </w:t>
            </w:r>
            <w:r>
              <w:rPr>
                <w:rFonts w:cs="Calibri"/>
              </w:rPr>
              <w:lastRenderedPageBreak/>
              <w:t>quality of care following primary elective THA and TKA. Response rates for PRO data for this measure will be calculated as the</w:t>
            </w:r>
            <w:r>
              <w:rPr>
                <w:color w:val="000000"/>
              </w:rPr>
              <w:t xml:space="preserve"> percentage </w:t>
            </w:r>
            <w:r>
              <w:t>of elective primary THA or TKA procedures for which complete and matched preoperative and postoperative PRO data have been submitted divided by the total number of eligible THA or TKA procedures performed at each hospital.</w:t>
            </w:r>
          </w:p>
          <w:p w14:paraId="329822F5" w14:textId="1181D917" w:rsidR="00E65061" w:rsidRDefault="00E65061" w:rsidP="007C1D0E"/>
          <w:p w14:paraId="3D71F0CB" w14:textId="7E8D0773" w:rsidR="00E65061" w:rsidRPr="00E65061" w:rsidRDefault="00E65061" w:rsidP="007C1D0E">
            <w:pPr>
              <w:rPr>
                <w:u w:val="single"/>
              </w:rPr>
            </w:pPr>
            <w:r w:rsidRPr="00E65061">
              <w:rPr>
                <w:u w:val="single"/>
              </w:rPr>
              <w:t>References:</w:t>
            </w:r>
          </w:p>
          <w:p w14:paraId="0363C3B0" w14:textId="2556E29F" w:rsidR="00E65061" w:rsidRDefault="00E65061" w:rsidP="007C1D0E"/>
          <w:p w14:paraId="7C9DD778" w14:textId="6B0E9B59" w:rsidR="00E65061" w:rsidRDefault="00E65061" w:rsidP="00E65061">
            <w:pPr>
              <w:pStyle w:val="EndNoteBibliography"/>
            </w:pPr>
            <w:r w:rsidRPr="00A857D4">
              <w:t xml:space="preserve">Ayers DC, Li W, Oatis C, Rosal MC, Franklin PD. </w:t>
            </w:r>
            <w:r>
              <w:t xml:space="preserve">(2013). </w:t>
            </w:r>
            <w:r w:rsidRPr="00A857D4">
              <w:t>Patient-reported outcom</w:t>
            </w:r>
            <w:r>
              <w:t xml:space="preserve">es after total knee replacement </w:t>
            </w:r>
            <w:r w:rsidRPr="00A857D4">
              <w:t xml:space="preserve">vary on the basis of preoperative coexisting disease in the lumbar spine and other nonoperatively treated joints: the need for a musculoskeletal comorbidity index. </w:t>
            </w:r>
            <w:r w:rsidRPr="00A857D4">
              <w:rPr>
                <w:i/>
              </w:rPr>
              <w:t>The Journal of bone and</w:t>
            </w:r>
            <w:r>
              <w:rPr>
                <w:i/>
              </w:rPr>
              <w:t xml:space="preserve"> joint surgery American volume, </w:t>
            </w:r>
            <w:r w:rsidRPr="00A857D4">
              <w:t>95(20):1833.</w:t>
            </w:r>
          </w:p>
          <w:p w14:paraId="6AA60F18" w14:textId="428A47AF" w:rsidR="00296751" w:rsidRDefault="00296751" w:rsidP="00E65061">
            <w:pPr>
              <w:pStyle w:val="EndNoteBibliography"/>
            </w:pPr>
          </w:p>
          <w:p w14:paraId="4DECE994" w14:textId="4E34E9F4" w:rsidR="00DA0E6A" w:rsidRDefault="00DA0E6A" w:rsidP="00E65061">
            <w:pPr>
              <w:pStyle w:val="EndNoteBibliography"/>
            </w:pPr>
            <w:r>
              <w:t>Comprehensive Care for Joint Replacement (CJR) Payment Model for Acute Care Hospitals Furnishing Lower Extremity Joint Replacement Services Final Rule, 80 C.F.R. 73273 (Nov 24, 2015).</w:t>
            </w:r>
          </w:p>
          <w:p w14:paraId="5E57E957" w14:textId="77777777" w:rsidR="00DA0E6A" w:rsidRDefault="00DA0E6A" w:rsidP="00E65061">
            <w:pPr>
              <w:pStyle w:val="EndNoteBibliography"/>
            </w:pPr>
          </w:p>
          <w:p w14:paraId="4E600A95" w14:textId="3886F6A9" w:rsidR="00E65061" w:rsidRDefault="00DA0E6A" w:rsidP="00B97EF1">
            <w:pPr>
              <w:pStyle w:val="EndNoteBibliography"/>
              <w:ind w:left="720" w:hanging="720"/>
            </w:pPr>
            <w:r w:rsidRPr="00A857D4">
              <w:t>Fairbank JCP, Pau</w:t>
            </w:r>
            <w:r>
              <w:t xml:space="preserve">l B. (2000). </w:t>
            </w:r>
            <w:r w:rsidRPr="00A857D4">
              <w:t xml:space="preserve">The Oswestry disability index. </w:t>
            </w:r>
            <w:r>
              <w:rPr>
                <w:i/>
              </w:rPr>
              <w:t>Spine,</w:t>
            </w:r>
            <w:r w:rsidRPr="00A857D4">
              <w:t>25(22):2940-2953.</w:t>
            </w:r>
          </w:p>
          <w:p w14:paraId="2CB188D6" w14:textId="77777777" w:rsidR="00751A23" w:rsidRDefault="00751A23" w:rsidP="00B97EF1">
            <w:pPr>
              <w:pStyle w:val="EndNoteBibliography"/>
              <w:ind w:left="720" w:hanging="720"/>
            </w:pPr>
          </w:p>
          <w:p w14:paraId="75A148F4" w14:textId="7639B5C3" w:rsidR="00751A23" w:rsidRDefault="00751A23" w:rsidP="00751A23">
            <w:pPr>
              <w:pStyle w:val="EndNoteBibliography"/>
            </w:pPr>
            <w:r>
              <w:t>Sarkar U, Schillinger D, López A, Sudore R. Validation of self-reported health literacy questions among diverse English and Spanish-speaking populations. J Gen Intern Med. 2011 Mar;26(3):265-71. Epub 2010 Nov 6.</w:t>
            </w:r>
          </w:p>
          <w:p w14:paraId="1E60A411" w14:textId="589FBF76" w:rsidR="00751A23" w:rsidRDefault="00751A23" w:rsidP="00B97EF1">
            <w:pPr>
              <w:pStyle w:val="EndNoteBibliography"/>
              <w:ind w:left="720" w:hanging="720"/>
            </w:pPr>
          </w:p>
          <w:p w14:paraId="0380F9DF" w14:textId="59CE5B36" w:rsidR="00751A23" w:rsidRDefault="00751A23" w:rsidP="00751A23">
            <w:pPr>
              <w:pStyle w:val="EndNoteBibliography"/>
            </w:pPr>
            <w:r>
              <w:t>Wallace LS, Rogers ES, Roskos SE, Holiday DB, Weiss BD. Brief report: screening items to identify patients with limited health literacy skills. J Gen Intern Med. 2006 Aug;21(8):874-7.</w:t>
            </w:r>
          </w:p>
          <w:p w14:paraId="68CC1119" w14:textId="09EF0B6D" w:rsidR="00394224" w:rsidRDefault="00394224" w:rsidP="00DA0E6A">
            <w:pPr>
              <w:pStyle w:val="EndNoteBibliography"/>
              <w:ind w:left="720" w:hanging="720"/>
              <w:rPr>
                <w:rFonts w:cstheme="minorHAnsi"/>
                <w:bCs/>
              </w:rPr>
            </w:pPr>
          </w:p>
        </w:tc>
      </w:tr>
    </w:tbl>
    <w:p w14:paraId="7C5DF2F4" w14:textId="797C4496" w:rsidR="00704360" w:rsidRDefault="008C19CC" w:rsidP="009D3882">
      <w:pPr>
        <w:rPr>
          <w:rFonts w:cs="Calibri"/>
          <w:b/>
          <w:bCs/>
        </w:rPr>
      </w:pPr>
      <w:r>
        <w:rPr>
          <w:rFonts w:cs="Calibri"/>
          <w:b/>
          <w:bCs/>
        </w:rPr>
        <w:lastRenderedPageBreak/>
        <w:t xml:space="preserve"> </w:t>
      </w:r>
    </w:p>
    <w:p w14:paraId="4F818AF8" w14:textId="158D6AEC" w:rsidR="00394224" w:rsidRPr="009D3882" w:rsidRDefault="009C7513" w:rsidP="00394224">
      <w:pPr>
        <w:spacing w:after="0"/>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394224">
        <w:rPr>
          <w:rFonts w:cs="Calibri"/>
          <w:bCs/>
        </w:rPr>
        <w:t xml:space="preserve">. </w:t>
      </w:r>
    </w:p>
    <w:tbl>
      <w:tblPr>
        <w:tblStyle w:val="TableGrid"/>
        <w:tblW w:w="0" w:type="auto"/>
        <w:tblLook w:val="04A0" w:firstRow="1" w:lastRow="0" w:firstColumn="1" w:lastColumn="0" w:noHBand="0" w:noVBand="1"/>
      </w:tblPr>
      <w:tblGrid>
        <w:gridCol w:w="9350"/>
      </w:tblGrid>
      <w:tr w:rsidR="00394224" w14:paraId="70845B0D" w14:textId="77777777" w:rsidTr="00062A58">
        <w:tc>
          <w:tcPr>
            <w:tcW w:w="9350" w:type="dxa"/>
          </w:tcPr>
          <w:p w14:paraId="37BD3418" w14:textId="0EA62E45" w:rsidR="00394224" w:rsidRDefault="0034301E" w:rsidP="00062A58">
            <w:pPr>
              <w:autoSpaceDE w:val="0"/>
              <w:autoSpaceDN w:val="0"/>
              <w:adjustRightInd w:val="0"/>
              <w:rPr>
                <w:rFonts w:cstheme="minorHAnsi"/>
                <w:bCs/>
              </w:rPr>
            </w:pPr>
            <w:r>
              <w:rPr>
                <w:rFonts w:cstheme="minorHAnsi"/>
                <w:bCs/>
              </w:rPr>
              <w:t>N/A</w:t>
            </w:r>
          </w:p>
        </w:tc>
      </w:tr>
    </w:tbl>
    <w:p w14:paraId="0CABCFF4" w14:textId="406A77C5" w:rsidR="009D3882" w:rsidRPr="009D3882" w:rsidRDefault="009D3882" w:rsidP="009D3882">
      <w:pPr>
        <w:rPr>
          <w:rFonts w:cstheme="minorHAnsi"/>
          <w:b/>
          <w:bCs/>
          <w:sz w:val="14"/>
        </w:rPr>
      </w:pPr>
    </w:p>
    <w:p w14:paraId="6DCA5590" w14:textId="60691F6F" w:rsidR="00394224"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tbl>
      <w:tblPr>
        <w:tblStyle w:val="TableGrid"/>
        <w:tblW w:w="0" w:type="auto"/>
        <w:tblLook w:val="04A0" w:firstRow="1" w:lastRow="0" w:firstColumn="1" w:lastColumn="0" w:noHBand="0" w:noVBand="1"/>
      </w:tblPr>
      <w:tblGrid>
        <w:gridCol w:w="9350"/>
      </w:tblGrid>
      <w:tr w:rsidR="00394224" w14:paraId="13CE0E2D" w14:textId="77777777" w:rsidTr="00062A58">
        <w:tc>
          <w:tcPr>
            <w:tcW w:w="9350" w:type="dxa"/>
          </w:tcPr>
          <w:p w14:paraId="50D5DC5E" w14:textId="358451FC" w:rsidR="001A3435" w:rsidRDefault="004D1620" w:rsidP="000C4B23">
            <w:r>
              <w:t>We</w:t>
            </w:r>
            <w:r w:rsidR="001A3435">
              <w:t xml:space="preserve"> identified r</w:t>
            </w:r>
            <w:r w:rsidR="001A3435" w:rsidRPr="00E01D49">
              <w:t>isk variables from the published literature through a systematic literature review and environmental scan, as well as from orthopedists surveyed about what risk variables they consider important in predicting THA/TKA outcomes</w:t>
            </w:r>
            <w:r w:rsidR="002F1293">
              <w:t xml:space="preserve"> and their feasibility based on common clinical practice</w:t>
            </w:r>
            <w:r w:rsidR="001A3435" w:rsidRPr="00E01D49">
              <w:t>.</w:t>
            </w:r>
            <w:r w:rsidR="001A3435">
              <w:t xml:space="preserve"> I</w:t>
            </w:r>
            <w:r w:rsidR="001A3435" w:rsidRPr="00E01D49">
              <w:t xml:space="preserve">n consultation with the </w:t>
            </w:r>
            <w:r w:rsidR="00D645D7">
              <w:t>T</w:t>
            </w:r>
            <w:r w:rsidR="001A3435">
              <w:t xml:space="preserve">echnical </w:t>
            </w:r>
            <w:r w:rsidR="00D645D7">
              <w:t>W</w:t>
            </w:r>
            <w:r w:rsidR="001A3435" w:rsidRPr="00E01D49">
              <w:t xml:space="preserve">orking </w:t>
            </w:r>
            <w:r w:rsidR="00D645D7">
              <w:t>G</w:t>
            </w:r>
            <w:r w:rsidR="001A3435" w:rsidRPr="00E01D49">
              <w:t>roup</w:t>
            </w:r>
            <w:r w:rsidR="001A3435">
              <w:t xml:space="preserve"> </w:t>
            </w:r>
            <w:r w:rsidR="001A3435" w:rsidRPr="00E01D49">
              <w:t xml:space="preserve">and </w:t>
            </w:r>
            <w:r w:rsidR="001A3435" w:rsidRPr="002E463A">
              <w:t>the TEP and through</w:t>
            </w:r>
            <w:r w:rsidR="001A3435">
              <w:t xml:space="preserve"> detailed public comments from specialty societies</w:t>
            </w:r>
            <w:r w:rsidR="001A3435" w:rsidRPr="00E01D49">
              <w:t xml:space="preserve">, </w:t>
            </w:r>
            <w:r w:rsidR="001A3435">
              <w:t>we focused on</w:t>
            </w:r>
            <w:r w:rsidR="001A3435" w:rsidRPr="00E01D49">
              <w:t xml:space="preserve"> candidate risk-adjustment variables of interest that were clinically relevant</w:t>
            </w:r>
            <w:r w:rsidR="002F1293">
              <w:t>, reliably and standardly collected in clinical care,</w:t>
            </w:r>
            <w:r w:rsidR="001A3435" w:rsidRPr="00E01D49">
              <w:t xml:space="preserve"> and had an evidence-based relationship with </w:t>
            </w:r>
            <w:r w:rsidR="001A3435">
              <w:t>clinical</w:t>
            </w:r>
            <w:r w:rsidR="001A3435" w:rsidRPr="00E01D49">
              <w:t xml:space="preserve"> outcome</w:t>
            </w:r>
            <w:r w:rsidR="001A3435">
              <w:t>s following elective primary THA or TKA</w:t>
            </w:r>
            <w:r w:rsidR="001A3435" w:rsidRPr="00E01D49">
              <w:t xml:space="preserve">. </w:t>
            </w:r>
          </w:p>
          <w:p w14:paraId="1DE9EB9B" w14:textId="77777777" w:rsidR="000C4B23" w:rsidRDefault="000C4B23" w:rsidP="000C4B23"/>
          <w:p w14:paraId="23E6924F" w14:textId="44EB52DD" w:rsidR="000E3877" w:rsidRDefault="001A3435" w:rsidP="000C4B23">
            <w:pPr>
              <w:autoSpaceDE w:val="0"/>
              <w:autoSpaceDN w:val="0"/>
              <w:adjustRightInd w:val="0"/>
            </w:pPr>
            <w:r>
              <w:lastRenderedPageBreak/>
              <w:t>We used the</w:t>
            </w:r>
            <w:r w:rsidRPr="00442A68">
              <w:t xml:space="preserve"> comprehensive list </w:t>
            </w:r>
            <w:r>
              <w:t>of candidate risk variables obtained</w:t>
            </w:r>
            <w:r w:rsidRPr="00442A68">
              <w:t xml:space="preserve"> through expert and public input</w:t>
            </w:r>
            <w:r>
              <w:t xml:space="preserve"> to</w:t>
            </w:r>
            <w:r w:rsidRPr="00442A68">
              <w:t xml:space="preserve"> survey our TEP </w:t>
            </w:r>
            <w:r>
              <w:t>on their thoughts</w:t>
            </w:r>
            <w:r w:rsidRPr="00442A68">
              <w:t xml:space="preserve"> to each risk variable’s priority</w:t>
            </w:r>
            <w:r>
              <w:t>. In addition, we</w:t>
            </w:r>
            <w:r w:rsidRPr="00442A68">
              <w:t xml:space="preserve"> </w:t>
            </w:r>
            <w:r>
              <w:t xml:space="preserve">collaborated with orthopedic societies and individual orthopedic practices to </w:t>
            </w:r>
            <w:r w:rsidRPr="00E01D49">
              <w:t>evaluate the feasibility, uniformity and reliability of clinical data elements prioritized by orthopedists</w:t>
            </w:r>
            <w:r w:rsidRPr="00442A68">
              <w:t xml:space="preserve"> </w:t>
            </w:r>
            <w:r>
              <w:t xml:space="preserve">by </w:t>
            </w:r>
            <w:r w:rsidRPr="00442A68">
              <w:t>perform</w:t>
            </w:r>
            <w:r>
              <w:t>ing</w:t>
            </w:r>
            <w:r w:rsidRPr="00442A68">
              <w:t xml:space="preserve"> a medical</w:t>
            </w:r>
            <w:r w:rsidRPr="00E01D49">
              <w:t xml:space="preserve"> record review at </w:t>
            </w:r>
            <w:r>
              <w:t>seven</w:t>
            </w:r>
            <w:r w:rsidRPr="00E01D49">
              <w:t xml:space="preserve"> practices across the country</w:t>
            </w:r>
            <w:r w:rsidR="000E3877">
              <w:t xml:space="preserve">. </w:t>
            </w:r>
          </w:p>
          <w:p w14:paraId="2BA617C0" w14:textId="77777777" w:rsidR="000C4B23" w:rsidRDefault="000C4B23" w:rsidP="000C4B23">
            <w:pPr>
              <w:autoSpaceDE w:val="0"/>
              <w:autoSpaceDN w:val="0"/>
              <w:adjustRightInd w:val="0"/>
            </w:pPr>
          </w:p>
          <w:p w14:paraId="0AD8666D" w14:textId="77777777" w:rsidR="000E3877" w:rsidRDefault="000E3877" w:rsidP="000C4B23">
            <w:r>
              <w:t>In addition to clinical risk variables that have been collected de novo and evaluated for inclusion in the final measure risk model, a</w:t>
            </w:r>
            <w:r w:rsidRPr="00E01D49">
              <w:t xml:space="preserve">ll diagnostic codes </w:t>
            </w:r>
            <w:r>
              <w:t xml:space="preserve">from administrative claims </w:t>
            </w:r>
            <w:r w:rsidRPr="00E01D49">
              <w:t xml:space="preserve">during the 12 months prior to the THA/TKA procedure </w:t>
            </w:r>
            <w:r>
              <w:t>were</w:t>
            </w:r>
            <w:r w:rsidRPr="00E01D49">
              <w:t xml:space="preserve"> evaluated for possible inclusion in the risk model. </w:t>
            </w:r>
          </w:p>
          <w:p w14:paraId="7ED0CF1A" w14:textId="77777777" w:rsidR="000C4B23" w:rsidRPr="00E01D49" w:rsidRDefault="000C4B23" w:rsidP="000C4B23"/>
          <w:p w14:paraId="737C83C7" w14:textId="73A714A2" w:rsidR="000E3877" w:rsidRDefault="000E3877" w:rsidP="000C4B23">
            <w:pPr>
              <w:autoSpaceDE w:val="0"/>
              <w:autoSpaceDN w:val="0"/>
              <w:adjustRightInd w:val="0"/>
              <w:rPr>
                <w:rFonts w:eastAsiaTheme="minorHAnsi" w:cs="Calibri"/>
                <w:color w:val="000000"/>
              </w:rPr>
            </w:pPr>
            <w:r>
              <w:rPr>
                <w:rFonts w:eastAsiaTheme="minorHAnsi" w:cs="Calibri"/>
                <w:color w:val="000000"/>
              </w:rPr>
              <w:t>T</w:t>
            </w:r>
            <w:r w:rsidRPr="00E01D49">
              <w:rPr>
                <w:rFonts w:eastAsiaTheme="minorHAnsi" w:cs="Calibri"/>
                <w:color w:val="000000"/>
              </w:rPr>
              <w:t xml:space="preserve">he burden of novel data collection for PRO-based performance measures adds complexity to risk adjustment for </w:t>
            </w:r>
            <w:r>
              <w:rPr>
                <w:rFonts w:eastAsiaTheme="minorHAnsi" w:cs="Calibri"/>
                <w:color w:val="000000"/>
              </w:rPr>
              <w:t>this</w:t>
            </w:r>
            <w:r w:rsidRPr="00E01D49">
              <w:rPr>
                <w:rFonts w:eastAsiaTheme="minorHAnsi" w:cs="Calibri"/>
                <w:color w:val="000000"/>
              </w:rPr>
              <w:t xml:space="preserve"> measure</w:t>
            </w:r>
            <w:r>
              <w:rPr>
                <w:rFonts w:eastAsiaTheme="minorHAnsi" w:cs="Calibri"/>
                <w:color w:val="000000"/>
              </w:rPr>
              <w:t xml:space="preserve"> as the measure will also need to account for </w:t>
            </w:r>
            <w:r w:rsidR="00C3642E">
              <w:rPr>
                <w:rFonts w:eastAsiaTheme="minorHAnsi" w:cs="Calibri"/>
                <w:color w:val="000000"/>
              </w:rPr>
              <w:t xml:space="preserve">non-response </w:t>
            </w:r>
            <w:r>
              <w:rPr>
                <w:rFonts w:eastAsiaTheme="minorHAnsi" w:cs="Calibri"/>
                <w:color w:val="000000"/>
              </w:rPr>
              <w:t>and/or incomplete data and the overall response rate at each hospital</w:t>
            </w:r>
            <w:r w:rsidRPr="00E01D49">
              <w:rPr>
                <w:rFonts w:eastAsiaTheme="minorHAnsi" w:cs="Calibri"/>
                <w:color w:val="000000"/>
              </w:rPr>
              <w:t xml:space="preserve">. </w:t>
            </w:r>
            <w:r w:rsidR="00885EF5">
              <w:rPr>
                <w:rFonts w:eastAsiaTheme="minorHAnsi" w:cs="Calibri"/>
                <w:color w:val="000000"/>
              </w:rPr>
              <w:t xml:space="preserve">We recognize </w:t>
            </w:r>
            <w:r w:rsidRPr="00E01D49">
              <w:rPr>
                <w:rFonts w:eastAsiaTheme="minorHAnsi" w:cs="Calibri"/>
                <w:color w:val="000000"/>
              </w:rPr>
              <w:t xml:space="preserve">that poorly or incompletely collected data may be asymmetrically distributed across lower socioeconomic or disadvantaged populations </w:t>
            </w:r>
            <w:r w:rsidR="00885EF5">
              <w:rPr>
                <w:rFonts w:eastAsiaTheme="minorHAnsi" w:cs="Calibri"/>
                <w:color w:val="000000"/>
              </w:rPr>
              <w:t xml:space="preserve">with </w:t>
            </w:r>
            <w:r w:rsidRPr="00E01D49">
              <w:rPr>
                <w:rFonts w:eastAsiaTheme="minorHAnsi" w:cs="Calibri"/>
                <w:color w:val="000000"/>
              </w:rPr>
              <w:t>the potential to directly affect measure scores.</w:t>
            </w:r>
            <w:r w:rsidR="00C3642E">
              <w:rPr>
                <w:rFonts w:eastAsiaTheme="minorHAnsi" w:cs="Calibri"/>
                <w:color w:val="000000"/>
              </w:rPr>
              <w:t xml:space="preserve"> </w:t>
            </w:r>
            <w:r w:rsidRPr="00E01D49">
              <w:rPr>
                <w:rFonts w:eastAsiaTheme="minorHAnsi" w:cs="Calibri"/>
                <w:color w:val="000000"/>
              </w:rPr>
              <w:t xml:space="preserve"> Although sociodemographic factors </w:t>
            </w:r>
            <w:r>
              <w:rPr>
                <w:rFonts w:eastAsiaTheme="minorHAnsi" w:cs="Calibri"/>
                <w:color w:val="000000"/>
              </w:rPr>
              <w:t xml:space="preserve">also potentially affect </w:t>
            </w:r>
            <w:r w:rsidRPr="00E01D49">
              <w:rPr>
                <w:rFonts w:eastAsiaTheme="minorHAnsi" w:cs="Calibri"/>
                <w:color w:val="000000"/>
              </w:rPr>
              <w:t xml:space="preserve">other outcome measures, PRO-based measures are particularly vulnerable to </w:t>
            </w:r>
            <w:r>
              <w:rPr>
                <w:rFonts w:eastAsiaTheme="minorHAnsi" w:cs="Calibri"/>
                <w:color w:val="000000"/>
              </w:rPr>
              <w:t>these factors, most specifically health literacy</w:t>
            </w:r>
            <w:r w:rsidR="000C4B23">
              <w:rPr>
                <w:rFonts w:eastAsiaTheme="minorHAnsi" w:cs="Calibri"/>
                <w:color w:val="000000"/>
              </w:rPr>
              <w:t>.</w:t>
            </w:r>
          </w:p>
          <w:p w14:paraId="71C3C7B1" w14:textId="77777777" w:rsidR="000C4B23" w:rsidRDefault="000C4B23" w:rsidP="000C4B23">
            <w:pPr>
              <w:autoSpaceDE w:val="0"/>
              <w:autoSpaceDN w:val="0"/>
              <w:adjustRightInd w:val="0"/>
              <w:rPr>
                <w:rFonts w:eastAsiaTheme="minorHAnsi" w:cs="Calibri"/>
                <w:color w:val="000000"/>
              </w:rPr>
            </w:pPr>
          </w:p>
          <w:p w14:paraId="7D7B13F1" w14:textId="77777777" w:rsidR="000E3877" w:rsidRPr="00053AB6" w:rsidRDefault="000E3877" w:rsidP="000C4B23">
            <w:pPr>
              <w:spacing w:before="120" w:after="120"/>
            </w:pPr>
            <w:r w:rsidRPr="00053AB6">
              <w:t>The principles underlying the assessment of individual risk variables in the context of risk model development are summarized below</w:t>
            </w:r>
            <w:r>
              <w:t>:</w:t>
            </w:r>
          </w:p>
          <w:p w14:paraId="75B909D8" w14:textId="77777777" w:rsidR="000E3877" w:rsidRPr="00053AB6" w:rsidRDefault="000E3877" w:rsidP="000C4B23">
            <w:pPr>
              <w:pStyle w:val="ListParagraph"/>
              <w:numPr>
                <w:ilvl w:val="0"/>
                <w:numId w:val="30"/>
              </w:numPr>
              <w:spacing w:before="120" w:after="120"/>
              <w:ind w:left="720"/>
              <w:contextualSpacing w:val="0"/>
            </w:pPr>
            <w:r w:rsidRPr="00053AB6">
              <w:t>The goal of risk adjustment is to account for patient characteristics that are</w:t>
            </w:r>
            <w:r>
              <w:t xml:space="preserve"> reasonably</w:t>
            </w:r>
            <w:r w:rsidRPr="00053AB6">
              <w:t xml:space="preserve"> beyond the control of the hospital. Therefore, risk variables must represent clinically important risk predictors; that is, they must be predictive of the outcome (in this case, the change in PROs after THA/TKA) and </w:t>
            </w:r>
            <w:r>
              <w:t>reasonably beyond hospital control.</w:t>
            </w:r>
          </w:p>
          <w:p w14:paraId="56BBA911" w14:textId="388A0CA1" w:rsidR="000E3877" w:rsidRPr="00053AB6" w:rsidRDefault="000E3877" w:rsidP="000C4B23">
            <w:pPr>
              <w:pStyle w:val="ListParagraph"/>
              <w:numPr>
                <w:ilvl w:val="1"/>
                <w:numId w:val="30"/>
              </w:numPr>
              <w:spacing w:before="120" w:after="120"/>
              <w:ind w:left="1080"/>
              <w:contextualSpacing w:val="0"/>
            </w:pPr>
            <w:r w:rsidRPr="00053AB6">
              <w:t xml:space="preserve">The goal is not perfect risk prediction – this would imply that the hospital has </w:t>
            </w:r>
            <w:r>
              <w:t>no</w:t>
            </w:r>
            <w:r w:rsidRPr="00053AB6">
              <w:t xml:space="preserve"> impact on clinical outcomes (</w:t>
            </w:r>
            <w:r>
              <w:t xml:space="preserve">that is, </w:t>
            </w:r>
            <w:r w:rsidRPr="00053AB6">
              <w:t xml:space="preserve">all variation is entirely explained by patient characteristics and healthcare providers </w:t>
            </w:r>
            <w:r>
              <w:t>have no impact on clinical outcomes</w:t>
            </w:r>
            <w:r w:rsidRPr="00053AB6">
              <w:t>). We know this is not true – providers can improve care and outcomes</w:t>
            </w:r>
            <w:r w:rsidR="00BA462B">
              <w:t xml:space="preserve"> through</w:t>
            </w:r>
            <w:r w:rsidRPr="00053AB6">
              <w:t xml:space="preserve"> active qu</w:t>
            </w:r>
            <w:r>
              <w:t>ality improvement efforts (such as</w:t>
            </w:r>
            <w:r w:rsidRPr="00053AB6">
              <w:t xml:space="preserve"> patient education, adjustments to patient care before</w:t>
            </w:r>
            <w:r>
              <w:t>, during and</w:t>
            </w:r>
            <w:r w:rsidR="00A60D6C">
              <w:t xml:space="preserve"> after surgery</w:t>
            </w:r>
            <w:r w:rsidRPr="00053AB6">
              <w:t>).</w:t>
            </w:r>
          </w:p>
          <w:p w14:paraId="7851C5EB" w14:textId="77777777" w:rsidR="000E3877" w:rsidRPr="00053AB6" w:rsidRDefault="000E3877" w:rsidP="000C4B23">
            <w:pPr>
              <w:pStyle w:val="ListParagraph"/>
              <w:numPr>
                <w:ilvl w:val="0"/>
                <w:numId w:val="30"/>
              </w:numPr>
              <w:spacing w:before="120" w:after="120"/>
              <w:ind w:left="720"/>
              <w:contextualSpacing w:val="0"/>
            </w:pPr>
            <w:r w:rsidRPr="00053AB6">
              <w:t xml:space="preserve">Risk variables must be feasible to collect and report. If a variable creates a data collection burden to patients, surgeons, hospitals, or the healthcare system, the </w:t>
            </w:r>
            <w:r>
              <w:t xml:space="preserve">incremental </w:t>
            </w:r>
            <w:r w:rsidRPr="00053AB6">
              <w:t xml:space="preserve">value of including the variable in the risk model should </w:t>
            </w:r>
            <w:r>
              <w:t xml:space="preserve">significantly </w:t>
            </w:r>
            <w:r w:rsidRPr="00053AB6">
              <w:t xml:space="preserve">outweigh the burden. </w:t>
            </w:r>
          </w:p>
          <w:p w14:paraId="7422B2EB" w14:textId="5BDC60BB" w:rsidR="000E3877" w:rsidRPr="00053AB6" w:rsidRDefault="000E3877" w:rsidP="000C4B23">
            <w:pPr>
              <w:pStyle w:val="ListParagraph"/>
              <w:numPr>
                <w:ilvl w:val="1"/>
                <w:numId w:val="30"/>
              </w:numPr>
              <w:spacing w:before="120" w:after="120"/>
              <w:ind w:left="1080"/>
              <w:contextualSpacing w:val="0"/>
            </w:pPr>
            <w:r w:rsidRPr="00053AB6">
              <w:t xml:space="preserve">The definition of burden is subjective. </w:t>
            </w:r>
            <w:r>
              <w:t>This</w:t>
            </w:r>
            <w:r w:rsidRPr="00053AB6">
              <w:t xml:space="preserve"> measure can only be implemented by requiring that hospitals, surgeons, and patients collect the PROM </w:t>
            </w:r>
            <w:r>
              <w:t xml:space="preserve">and relevant risk variables </w:t>
            </w:r>
            <w:r w:rsidRPr="00053AB6">
              <w:t xml:space="preserve">data both before and after the THA/TKA. The TEP recommended that we collect both a </w:t>
            </w:r>
            <w:r>
              <w:t>global</w:t>
            </w:r>
            <w:r w:rsidRPr="00053AB6">
              <w:t xml:space="preserve"> PROM (the PROMIS Global or VR-12) </w:t>
            </w:r>
            <w:r>
              <w:t>and</w:t>
            </w:r>
            <w:r w:rsidRPr="00053AB6">
              <w:t xml:space="preserve"> a hip- or knee-specific PROM (the HOOS</w:t>
            </w:r>
            <w:r>
              <w:t xml:space="preserve">, JR </w:t>
            </w:r>
            <w:r w:rsidRPr="00053AB6">
              <w:t>or KOOS</w:t>
            </w:r>
            <w:r>
              <w:t>, JR</w:t>
            </w:r>
            <w:r w:rsidRPr="00053AB6">
              <w:t xml:space="preserve">). It is our goal to minimize any </w:t>
            </w:r>
            <w:r w:rsidRPr="00053AB6">
              <w:rPr>
                <w:i/>
              </w:rPr>
              <w:t>additional</w:t>
            </w:r>
            <w:r w:rsidRPr="00053AB6">
              <w:t xml:space="preserve"> data collection requirements beyond the PROM surveys</w:t>
            </w:r>
            <w:r>
              <w:t>,</w:t>
            </w:r>
            <w:r w:rsidRPr="00053AB6">
              <w:t xml:space="preserve"> if possible. </w:t>
            </w:r>
          </w:p>
          <w:p w14:paraId="7236C699" w14:textId="77777777" w:rsidR="000E3877" w:rsidRDefault="000E3877" w:rsidP="000C4B23">
            <w:pPr>
              <w:pStyle w:val="ListParagraph"/>
              <w:numPr>
                <w:ilvl w:val="0"/>
                <w:numId w:val="30"/>
              </w:numPr>
              <w:spacing w:before="120" w:after="120"/>
              <w:ind w:left="720"/>
              <w:contextualSpacing w:val="0"/>
            </w:pPr>
            <w:r w:rsidRPr="00053AB6">
              <w:t xml:space="preserve">Risk variables must be reliably and consistently defined so that the risk variables carry the same information across all </w:t>
            </w:r>
            <w:r>
              <w:t xml:space="preserve">patients and </w:t>
            </w:r>
            <w:r w:rsidRPr="00053AB6">
              <w:t xml:space="preserve">hospitals. </w:t>
            </w:r>
          </w:p>
          <w:p w14:paraId="3BE6663B" w14:textId="77777777" w:rsidR="000C4B23" w:rsidRPr="00053AB6" w:rsidRDefault="000C4B23" w:rsidP="000C4B23">
            <w:pPr>
              <w:pStyle w:val="ListParagraph"/>
              <w:contextualSpacing w:val="0"/>
            </w:pPr>
          </w:p>
          <w:p w14:paraId="4BF3CCC0" w14:textId="6302CFBE" w:rsidR="007F3234" w:rsidRDefault="000E3877" w:rsidP="000C4B23">
            <w:pPr>
              <w:autoSpaceDE w:val="0"/>
              <w:autoSpaceDN w:val="0"/>
              <w:adjustRightInd w:val="0"/>
            </w:pPr>
            <w:r w:rsidRPr="00053AB6">
              <w:t xml:space="preserve">Finally, we will only include risk variables that have been tested empirically in the preliminary risk model. If risk factors are important but unavailable, we can either test available surrogate risk factors and/or </w:t>
            </w:r>
            <w:r>
              <w:t xml:space="preserve">CMS can </w:t>
            </w:r>
            <w:r w:rsidRPr="00053AB6">
              <w:t xml:space="preserve">pursue additional data collection for future iterations of the </w:t>
            </w:r>
            <w:r>
              <w:t>measure</w:t>
            </w:r>
            <w:r w:rsidRPr="00053AB6">
              <w:t xml:space="preserve">. </w:t>
            </w:r>
            <w:r>
              <w:t xml:space="preserve">Through our </w:t>
            </w:r>
            <w:r>
              <w:lastRenderedPageBreak/>
              <w:t>extensive stakeholder engagement that informed prospective data collection through CJR, we believe we have access to sufficiently exhaustive risk variable data</w:t>
            </w:r>
            <w:r w:rsidR="007F3234">
              <w:t xml:space="preserve"> to inform a robust risk model.</w:t>
            </w:r>
          </w:p>
          <w:p w14:paraId="0A802979" w14:textId="77777777" w:rsidR="000C4B23" w:rsidRDefault="000C4B23" w:rsidP="000C4B23">
            <w:pPr>
              <w:autoSpaceDE w:val="0"/>
              <w:autoSpaceDN w:val="0"/>
              <w:adjustRightInd w:val="0"/>
            </w:pPr>
          </w:p>
          <w:p w14:paraId="065EFD9A" w14:textId="0B23837A" w:rsidR="001A3435" w:rsidRDefault="000E3877" w:rsidP="000C4B23">
            <w:pPr>
              <w:autoSpaceDE w:val="0"/>
              <w:autoSpaceDN w:val="0"/>
              <w:adjustRightInd w:val="0"/>
            </w:pPr>
            <w:r>
              <w:t xml:space="preserve">To select the final risk model, we surveyed the </w:t>
            </w:r>
            <w:r w:rsidR="00D645D7">
              <w:t>TEP</w:t>
            </w:r>
            <w:r w:rsidR="00DD6B45">
              <w:t xml:space="preserve"> </w:t>
            </w:r>
            <w:r>
              <w:t xml:space="preserve">and asked them to rank the importance of clinical variables for use in a PRO-PM risk model. We solicited additional input from clinical consultants to create a list of clinically relevant and important risk variables for risk adjustment of a THA/TKA PRO-PM. We assessed model performance in the </w:t>
            </w:r>
            <w:r w:rsidRPr="0082144F">
              <w:rPr>
                <w:b/>
              </w:rPr>
              <w:t xml:space="preserve">Development </w:t>
            </w:r>
            <w:r w:rsidR="00065FC9" w:rsidRPr="0082144F">
              <w:rPr>
                <w:b/>
              </w:rPr>
              <w:t>Dataset</w:t>
            </w:r>
            <w:r>
              <w:t xml:space="preserve"> examining the model performance (C-statistics), model calibration (lack of fit), model discrimination in terms of predictiv</w:t>
            </w:r>
            <w:r w:rsidR="00065FC9">
              <w:t>e</w:t>
            </w:r>
            <w:r>
              <w:t xml:space="preserve"> </w:t>
            </w:r>
            <w:r w:rsidR="00065FC9">
              <w:t xml:space="preserve">ability </w:t>
            </w:r>
            <w:r>
              <w:t>(range of observed outcome among deciles of predicted outcomes), and distribution of model residuals.</w:t>
            </w:r>
            <w:r w:rsidRPr="005E59D6">
              <w:t xml:space="preserve"> </w:t>
            </w:r>
            <w:r w:rsidRPr="002A631E">
              <w:t xml:space="preserve">We calculated the model estimates as well as the coefficients and 95% confidence intervals for risk-adjustment variables for the best-performing model </w:t>
            </w:r>
            <w:r w:rsidRPr="00126A14">
              <w:t xml:space="preserve">in </w:t>
            </w:r>
            <w:r w:rsidR="00126A14" w:rsidRPr="00126A14">
              <w:t>the development dataset</w:t>
            </w:r>
            <w:r w:rsidRPr="00126A14">
              <w:t>.</w:t>
            </w:r>
            <w:r w:rsidR="004B144B">
              <w:t xml:space="preserve"> </w:t>
            </w:r>
            <w:r w:rsidR="00D647AC">
              <w:t xml:space="preserve">We assessed risk factors in THA-specific and TKA-specific cohorts to ensure risk prediction for a combined THA/TKA cohort was consistent with that for THA- and TKA-specific cohorts. We compared measure results and risk model performance for the THA- and TKA-specific and the combined THA/TKA cohorts. </w:t>
            </w:r>
            <w:r w:rsidR="004B144B">
              <w:t>We then repeated assessment of model performance</w:t>
            </w:r>
            <w:r w:rsidR="00D647AC">
              <w:t xml:space="preserve"> for the final combined THA/TKA cohort</w:t>
            </w:r>
            <w:r w:rsidR="004B144B">
              <w:t xml:space="preserve"> in the </w:t>
            </w:r>
            <w:r w:rsidR="004B144B" w:rsidRPr="0082144F">
              <w:rPr>
                <w:b/>
              </w:rPr>
              <w:t>Validation Dataset</w:t>
            </w:r>
            <w:r w:rsidR="004B144B">
              <w:t>.</w:t>
            </w:r>
            <w:r w:rsidR="00B03256">
              <w:t xml:space="preserve"> </w:t>
            </w:r>
          </w:p>
          <w:p w14:paraId="0533B6CB" w14:textId="77777777" w:rsidR="00EC6C40" w:rsidRDefault="00EC6C40" w:rsidP="000C4B23">
            <w:pPr>
              <w:autoSpaceDE w:val="0"/>
              <w:autoSpaceDN w:val="0"/>
              <w:adjustRightInd w:val="0"/>
            </w:pPr>
          </w:p>
          <w:p w14:paraId="6BD6DBE5" w14:textId="27CFCBF8" w:rsidR="00937135" w:rsidRPr="0082144F" w:rsidRDefault="00EC6C40" w:rsidP="00937135">
            <w:pPr>
              <w:autoSpaceDE w:val="0"/>
              <w:autoSpaceDN w:val="0"/>
              <w:adjustRightInd w:val="0"/>
              <w:rPr>
                <w:rFonts w:cstheme="minorHAnsi"/>
                <w:bCs/>
              </w:rPr>
            </w:pPr>
            <w:r>
              <w:t xml:space="preserve">To address non-response bias, </w:t>
            </w:r>
            <w:r w:rsidR="00937135">
              <w:t>we identified variables associated with non-response to PRO survey data in two ways. First, w</w:t>
            </w:r>
            <w:r w:rsidR="00937135" w:rsidRPr="00937135">
              <w:rPr>
                <w:rFonts w:cstheme="minorHAnsi"/>
                <w:bCs/>
              </w:rPr>
              <w:t xml:space="preserve">e </w:t>
            </w:r>
            <w:r w:rsidR="00937135">
              <w:rPr>
                <w:rFonts w:cstheme="minorHAnsi"/>
                <w:bCs/>
              </w:rPr>
              <w:t>identified statistical associations of</w:t>
            </w:r>
            <w:r w:rsidR="00937135" w:rsidRPr="00937135">
              <w:rPr>
                <w:rFonts w:cstheme="minorHAnsi"/>
                <w:bCs/>
              </w:rPr>
              <w:t xml:space="preserve"> patient characteristics and clinical comorbidities </w:t>
            </w:r>
            <w:r w:rsidR="00937135">
              <w:rPr>
                <w:rFonts w:cstheme="minorHAnsi"/>
                <w:bCs/>
              </w:rPr>
              <w:t xml:space="preserve">in our data </w:t>
            </w:r>
            <w:r w:rsidR="00937135" w:rsidRPr="00937135">
              <w:rPr>
                <w:rFonts w:cstheme="minorHAnsi"/>
                <w:bCs/>
              </w:rPr>
              <w:t>across three PRO response groups</w:t>
            </w:r>
            <w:r w:rsidR="00937135">
              <w:rPr>
                <w:rFonts w:cstheme="minorHAnsi"/>
                <w:bCs/>
              </w:rPr>
              <w:t xml:space="preserve">: patients with complete PRO data submission, patients with incomplete PRO data submission, and patients with no response. Next, we conducted a </w:t>
            </w:r>
            <w:r w:rsidR="00937135" w:rsidRPr="0082144F">
              <w:rPr>
                <w:rFonts w:cstheme="minorHAnsi"/>
                <w:bCs/>
              </w:rPr>
              <w:t>literature</w:t>
            </w:r>
            <w:r w:rsidR="00937135">
              <w:rPr>
                <w:rFonts w:cstheme="minorHAnsi"/>
                <w:bCs/>
              </w:rPr>
              <w:t xml:space="preserve"> review and</w:t>
            </w:r>
            <w:r w:rsidR="00937135" w:rsidRPr="0082144F">
              <w:rPr>
                <w:rFonts w:cstheme="minorHAnsi"/>
                <w:bCs/>
              </w:rPr>
              <w:t xml:space="preserve"> identified variables associated with </w:t>
            </w:r>
            <w:r w:rsidR="00937135">
              <w:rPr>
                <w:rFonts w:cstheme="minorHAnsi"/>
                <w:bCs/>
              </w:rPr>
              <w:t xml:space="preserve">unit </w:t>
            </w:r>
            <w:r w:rsidR="00937135" w:rsidRPr="0082144F">
              <w:rPr>
                <w:rFonts w:cstheme="minorHAnsi"/>
                <w:bCs/>
              </w:rPr>
              <w:t>non-response</w:t>
            </w:r>
            <w:r w:rsidR="00937135">
              <w:rPr>
                <w:rFonts w:cstheme="minorHAnsi"/>
                <w:bCs/>
              </w:rPr>
              <w:t xml:space="preserve"> to PROM survey data by other investigators, selecting to include variables identified in the literature that were likewise available in our data. </w:t>
            </w:r>
            <w:r w:rsidR="003E7C22">
              <w:rPr>
                <w:rFonts w:cstheme="minorHAnsi"/>
                <w:bCs/>
              </w:rPr>
              <w:t>(See 2b6.1 for a detailed description of the analytic approach to addressing potential response bias.)</w:t>
            </w:r>
          </w:p>
          <w:p w14:paraId="064157B2" w14:textId="426A4D4F" w:rsidR="00EC6C40" w:rsidRPr="00061CD6" w:rsidRDefault="00EC6C40" w:rsidP="000C4B23">
            <w:pPr>
              <w:autoSpaceDE w:val="0"/>
              <w:autoSpaceDN w:val="0"/>
              <w:adjustRightInd w:val="0"/>
              <w:rPr>
                <w:rFonts w:eastAsiaTheme="minorHAnsi" w:cs="Calibri"/>
                <w:color w:val="000000"/>
              </w:rPr>
            </w:pPr>
          </w:p>
        </w:tc>
      </w:tr>
    </w:tbl>
    <w:p w14:paraId="0CABCFF6" w14:textId="1D47FD3A" w:rsidR="00001D73" w:rsidRPr="00AF2D68" w:rsidRDefault="00001D73"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5CB448E" w:rsidR="00275563" w:rsidRPr="005232D6" w:rsidRDefault="00D772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733970">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4E0C8E7" w:rsidR="00275563" w:rsidRPr="005232D6" w:rsidRDefault="00D772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733970">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6D02F5D0" w:rsidR="00275563" w:rsidRPr="005232D6" w:rsidRDefault="00D772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3418BD0F" w14:textId="46C387D5" w:rsidR="00394224"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tbl>
      <w:tblPr>
        <w:tblStyle w:val="TableGrid"/>
        <w:tblW w:w="10075" w:type="dxa"/>
        <w:tblLook w:val="04A0" w:firstRow="1" w:lastRow="0" w:firstColumn="1" w:lastColumn="0" w:noHBand="0" w:noVBand="1"/>
      </w:tblPr>
      <w:tblGrid>
        <w:gridCol w:w="10075"/>
      </w:tblGrid>
      <w:tr w:rsidR="00394224" w14:paraId="5870C2E3" w14:textId="77777777" w:rsidTr="004D2CE5">
        <w:trPr>
          <w:trHeight w:val="854"/>
        </w:trPr>
        <w:tc>
          <w:tcPr>
            <w:tcW w:w="10075" w:type="dxa"/>
          </w:tcPr>
          <w:p w14:paraId="72A0A0FB" w14:textId="77777777" w:rsidR="00061CD6" w:rsidRDefault="004B144B" w:rsidP="000C4B23">
            <w:pPr>
              <w:pStyle w:val="Caption"/>
              <w:jc w:val="left"/>
              <w:rPr>
                <w:b w:val="0"/>
                <w:szCs w:val="22"/>
              </w:rPr>
            </w:pPr>
            <w:r>
              <w:rPr>
                <w:b w:val="0"/>
                <w:szCs w:val="22"/>
              </w:rPr>
              <w:t xml:space="preserve">Testing results using the </w:t>
            </w:r>
            <w:r w:rsidRPr="0082144F">
              <w:rPr>
                <w:szCs w:val="22"/>
              </w:rPr>
              <w:t>Validation Dataset</w:t>
            </w:r>
            <w:r>
              <w:rPr>
                <w:b w:val="0"/>
                <w:szCs w:val="22"/>
              </w:rPr>
              <w:t xml:space="preserve"> of t</w:t>
            </w:r>
            <w:r w:rsidRPr="004B144B">
              <w:rPr>
                <w:b w:val="0"/>
                <w:szCs w:val="22"/>
              </w:rPr>
              <w:t>he final risk</w:t>
            </w:r>
            <w:r>
              <w:rPr>
                <w:b w:val="0"/>
                <w:szCs w:val="22"/>
              </w:rPr>
              <w:t>-adjusted</w:t>
            </w:r>
            <w:r w:rsidRPr="004B144B">
              <w:rPr>
                <w:b w:val="0"/>
                <w:szCs w:val="22"/>
              </w:rPr>
              <w:t xml:space="preserve"> model</w:t>
            </w:r>
            <w:r>
              <w:rPr>
                <w:b w:val="0"/>
                <w:szCs w:val="22"/>
              </w:rPr>
              <w:t xml:space="preserve"> for SCB improvement following elective primary THA/TKA</w:t>
            </w:r>
            <w:r w:rsidR="00FC6384">
              <w:rPr>
                <w:b w:val="0"/>
                <w:szCs w:val="22"/>
              </w:rPr>
              <w:t xml:space="preserve"> are</w:t>
            </w:r>
            <w:r>
              <w:rPr>
                <w:b w:val="0"/>
                <w:szCs w:val="22"/>
              </w:rPr>
              <w:t xml:space="preserve"> presented in Table </w:t>
            </w:r>
            <w:r w:rsidR="00574BE6">
              <w:rPr>
                <w:b w:val="0"/>
                <w:szCs w:val="22"/>
              </w:rPr>
              <w:t>5</w:t>
            </w:r>
            <w:r>
              <w:rPr>
                <w:b w:val="0"/>
                <w:szCs w:val="22"/>
              </w:rPr>
              <w:t>, below.</w:t>
            </w:r>
            <w:r w:rsidR="00FC6384">
              <w:rPr>
                <w:b w:val="0"/>
                <w:szCs w:val="22"/>
              </w:rPr>
              <w:t xml:space="preserve"> Risk variable odds ratios (ORs) are adjusted for other risk variables in the model and are adjusted with non-response weighting to address response bias.</w:t>
            </w:r>
            <w:r w:rsidR="002F1293">
              <w:rPr>
                <w:b w:val="0"/>
                <w:szCs w:val="22"/>
              </w:rPr>
              <w:t xml:space="preserve"> As previously noted, the SCB outcome allows patients with poor baseline PRO scores to improve, so some risk variables that might be traditionally considered as predictors of worse outcomes are positively associated with achieving a SCB. </w:t>
            </w:r>
          </w:p>
          <w:p w14:paraId="784186C0" w14:textId="77777777" w:rsidR="00B03256" w:rsidRDefault="00B03256" w:rsidP="00F523E2"/>
          <w:p w14:paraId="3419AF8F" w14:textId="5BAB827A" w:rsidR="00B03256" w:rsidRPr="00B03256" w:rsidRDefault="00B03256" w:rsidP="00A37F10">
            <w:r>
              <w:t>Testing comparing THA- and TKA-specific risk model</w:t>
            </w:r>
            <w:r w:rsidR="00D909BF">
              <w:t xml:space="preserve"> result</w:t>
            </w:r>
            <w:r>
              <w:t>s to the final combined THA/TKA risk model (which includes all risk variables included in the THA- and TKA-specific risk models) demonstrated that model performance was equal or better in the combined THA/TKA cohort (</w:t>
            </w:r>
            <w:r w:rsidR="00D909BF">
              <w:t xml:space="preserve">Table 6, </w:t>
            </w:r>
            <w:r>
              <w:t>below)</w:t>
            </w:r>
            <w:r w:rsidR="00A37F10">
              <w:t>. Pearson’s correlation coefficient for h</w:t>
            </w:r>
            <w:r w:rsidR="00D909BF">
              <w:t xml:space="preserve">ospital-level </w:t>
            </w:r>
            <w:r w:rsidR="00C15917">
              <w:t>RSIRs</w:t>
            </w:r>
            <w:r w:rsidR="00D909BF">
              <w:t xml:space="preserve"> calculated with the THA-specific risk model </w:t>
            </w:r>
            <w:r w:rsidR="00A37F10">
              <w:t xml:space="preserve">compared </w:t>
            </w:r>
            <w:r w:rsidR="00D909BF">
              <w:t>to RSIRs</w:t>
            </w:r>
            <w:r>
              <w:t xml:space="preserve"> </w:t>
            </w:r>
            <w:r w:rsidR="00A37F10">
              <w:t xml:space="preserve">calculated with the combined THA/TKA risk model was excellent at 0.945 (p&lt;0.001) (see Figure 2, below). Likewise, </w:t>
            </w:r>
            <w:r w:rsidR="00A37F10">
              <w:lastRenderedPageBreak/>
              <w:t xml:space="preserve">Pearson’s correlation coefficient for RSIRs calculated with the TKA-specific risk model compared to those for the combined THA/TKA risk model was excellent at 0.976 (p&lt;0.001) (see Figure 3, below).  </w:t>
            </w:r>
          </w:p>
        </w:tc>
      </w:tr>
    </w:tbl>
    <w:p w14:paraId="0CABCFF7" w14:textId="39A618F8" w:rsidR="00092566" w:rsidRDefault="00092566" w:rsidP="00001D73">
      <w:pPr>
        <w:autoSpaceDE w:val="0"/>
        <w:autoSpaceDN w:val="0"/>
        <w:adjustRightInd w:val="0"/>
        <w:spacing w:after="0" w:line="240" w:lineRule="auto"/>
        <w:rPr>
          <w:rFonts w:cstheme="minorHAnsi"/>
          <w:b/>
          <w:bCs/>
        </w:rPr>
      </w:pPr>
    </w:p>
    <w:p w14:paraId="233AD937" w14:textId="5E45B0FA" w:rsidR="00C40BEF" w:rsidRPr="00704360" w:rsidRDefault="00271557" w:rsidP="00574BE6">
      <w:pPr>
        <w:pStyle w:val="Caption"/>
        <w:spacing w:line="240" w:lineRule="auto"/>
        <w:jc w:val="left"/>
        <w:rPr>
          <w:szCs w:val="22"/>
        </w:rPr>
      </w:pPr>
      <w:r>
        <w:rPr>
          <w:szCs w:val="22"/>
        </w:rPr>
        <w:t xml:space="preserve">Table </w:t>
      </w:r>
      <w:r w:rsidR="00574BE6">
        <w:rPr>
          <w:szCs w:val="22"/>
        </w:rPr>
        <w:t>5</w:t>
      </w:r>
      <w:r w:rsidR="00C40BEF" w:rsidRPr="00704360">
        <w:rPr>
          <w:szCs w:val="22"/>
        </w:rPr>
        <w:t xml:space="preserve">. Final </w:t>
      </w:r>
      <w:r w:rsidR="00C40BEF">
        <w:rPr>
          <w:szCs w:val="22"/>
        </w:rPr>
        <w:t xml:space="preserve">Risk </w:t>
      </w:r>
      <w:r w:rsidR="00C40BEF" w:rsidRPr="00704360">
        <w:rPr>
          <w:szCs w:val="22"/>
        </w:rPr>
        <w:t>Model Variables and Adjusted O</w:t>
      </w:r>
      <w:r w:rsidR="00C40BEF">
        <w:rPr>
          <w:szCs w:val="22"/>
        </w:rPr>
        <w:t xml:space="preserve">dds </w:t>
      </w:r>
      <w:r w:rsidR="00C40BEF" w:rsidRPr="00704360">
        <w:rPr>
          <w:szCs w:val="22"/>
        </w:rPr>
        <w:t>R</w:t>
      </w:r>
      <w:r w:rsidR="00C40BEF">
        <w:rPr>
          <w:szCs w:val="22"/>
        </w:rPr>
        <w:t>atio</w:t>
      </w:r>
      <w:r w:rsidR="00C40BEF" w:rsidRPr="00704360">
        <w:rPr>
          <w:szCs w:val="22"/>
        </w:rPr>
        <w:t xml:space="preserve">s (HLM): </w:t>
      </w:r>
      <w:r w:rsidR="00A711E1">
        <w:rPr>
          <w:szCs w:val="22"/>
        </w:rPr>
        <w:t>Validation Dataset</w:t>
      </w:r>
      <w:r w:rsidR="00C40BEF" w:rsidRPr="00704360">
        <w:rPr>
          <w:szCs w:val="22"/>
        </w:rPr>
        <w:t xml:space="preserve"> (Patient N = 4,</w:t>
      </w:r>
      <w:r w:rsidR="002529AB">
        <w:rPr>
          <w:szCs w:val="22"/>
        </w:rPr>
        <w:t>536, Hospital N = 219</w:t>
      </w:r>
      <w:r w:rsidR="00C40BEF" w:rsidRPr="00704360">
        <w:rPr>
          <w:szCs w:val="22"/>
        </w:rPr>
        <w:t>)</w:t>
      </w:r>
    </w:p>
    <w:tbl>
      <w:tblPr>
        <w:tblStyle w:val="TableGrid"/>
        <w:tblW w:w="9085" w:type="dxa"/>
        <w:tblLook w:val="04A0" w:firstRow="1" w:lastRow="0" w:firstColumn="1" w:lastColumn="0" w:noHBand="0" w:noVBand="1"/>
      </w:tblPr>
      <w:tblGrid>
        <w:gridCol w:w="5035"/>
        <w:gridCol w:w="2250"/>
        <w:gridCol w:w="1800"/>
      </w:tblGrid>
      <w:tr w:rsidR="004473F2" w14:paraId="26979D4C" w14:textId="77777777" w:rsidTr="00A60D6C">
        <w:trPr>
          <w:tblHeader/>
        </w:trPr>
        <w:tc>
          <w:tcPr>
            <w:tcW w:w="5035" w:type="dxa"/>
            <w:tcBorders>
              <w:bottom w:val="single" w:sz="4" w:space="0" w:color="auto"/>
            </w:tcBorders>
            <w:shd w:val="clear" w:color="auto" w:fill="B8CCE4" w:themeFill="accent1" w:themeFillTint="66"/>
          </w:tcPr>
          <w:p w14:paraId="23ABDE6F" w14:textId="77777777" w:rsidR="004473F2" w:rsidRDefault="004473F2" w:rsidP="00DD6D8C">
            <w:pPr>
              <w:jc w:val="both"/>
            </w:pPr>
            <w:r w:rsidRPr="009E76A3">
              <w:rPr>
                <w:b/>
              </w:rPr>
              <w:t>Variable</w:t>
            </w:r>
          </w:p>
        </w:tc>
        <w:tc>
          <w:tcPr>
            <w:tcW w:w="2250" w:type="dxa"/>
            <w:tcBorders>
              <w:bottom w:val="single" w:sz="4" w:space="0" w:color="auto"/>
            </w:tcBorders>
            <w:shd w:val="clear" w:color="auto" w:fill="B8CCE4" w:themeFill="accent1" w:themeFillTint="66"/>
          </w:tcPr>
          <w:p w14:paraId="13811ECB" w14:textId="77777777" w:rsidR="004473F2" w:rsidRPr="00FC5CB5" w:rsidRDefault="004473F2" w:rsidP="00DD6D8C">
            <w:pPr>
              <w:jc w:val="center"/>
              <w:rPr>
                <w:b/>
              </w:rPr>
            </w:pPr>
            <w:r w:rsidRPr="00FC5CB5">
              <w:rPr>
                <w:b/>
              </w:rPr>
              <w:t>Frequency</w:t>
            </w:r>
          </w:p>
        </w:tc>
        <w:tc>
          <w:tcPr>
            <w:tcW w:w="1800" w:type="dxa"/>
            <w:tcBorders>
              <w:bottom w:val="single" w:sz="4" w:space="0" w:color="auto"/>
            </w:tcBorders>
            <w:shd w:val="clear" w:color="auto" w:fill="B8CCE4" w:themeFill="accent1" w:themeFillTint="66"/>
          </w:tcPr>
          <w:p w14:paraId="14D827A6" w14:textId="69115037" w:rsidR="004473F2" w:rsidRDefault="004473F2" w:rsidP="00DD6D8C">
            <w:pPr>
              <w:jc w:val="center"/>
              <w:rPr>
                <w:b/>
              </w:rPr>
            </w:pPr>
            <w:r>
              <w:rPr>
                <w:b/>
              </w:rPr>
              <w:t>OR (</w:t>
            </w:r>
            <w:r w:rsidRPr="009E76A3">
              <w:rPr>
                <w:b/>
              </w:rPr>
              <w:t>95% CI</w:t>
            </w:r>
            <w:r>
              <w:rPr>
                <w:b/>
              </w:rPr>
              <w:t>)</w:t>
            </w:r>
          </w:p>
          <w:p w14:paraId="6966C4C5" w14:textId="6FBA598E" w:rsidR="004473F2" w:rsidRDefault="004473F2" w:rsidP="00B02852">
            <w:pPr>
              <w:jc w:val="center"/>
            </w:pPr>
            <w:r>
              <w:rPr>
                <w:b/>
              </w:rPr>
              <w:t>(Weighted for Non-Response)</w:t>
            </w:r>
          </w:p>
        </w:tc>
      </w:tr>
      <w:tr w:rsidR="004473F2" w14:paraId="555A4BEF" w14:textId="77777777" w:rsidTr="001B3C00">
        <w:tc>
          <w:tcPr>
            <w:tcW w:w="5035" w:type="dxa"/>
            <w:tcBorders>
              <w:top w:val="single" w:sz="4" w:space="0" w:color="auto"/>
              <w:left w:val="single" w:sz="4" w:space="0" w:color="auto"/>
              <w:bottom w:val="single" w:sz="4" w:space="0" w:color="auto"/>
              <w:right w:val="single" w:sz="4" w:space="0" w:color="auto"/>
            </w:tcBorders>
          </w:tcPr>
          <w:p w14:paraId="217A3D62" w14:textId="77777777" w:rsidR="004473F2" w:rsidRDefault="004473F2" w:rsidP="00DF737B">
            <w:r>
              <w:t>Age</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91AB18" w14:textId="4876BA12" w:rsidR="004473F2" w:rsidRDefault="004473F2" w:rsidP="00DF737B">
            <w:pPr>
              <w:jc w:val="right"/>
            </w:pPr>
            <w:r w:rsidRPr="00CF7097">
              <w:rPr>
                <w:i/>
              </w:rPr>
              <w:t>Mean</w:t>
            </w:r>
            <w:r>
              <w:t>=73.74</w:t>
            </w:r>
            <w:r w:rsidRPr="00CF7097">
              <w:t xml:space="preserve"> (</w:t>
            </w:r>
            <w:r w:rsidRPr="00CF7097">
              <w:rPr>
                <w:i/>
              </w:rPr>
              <w:t>SD</w:t>
            </w:r>
            <w:r>
              <w:t xml:space="preserve"> 5.84</w:t>
            </w:r>
            <w:r w:rsidRPr="00CF7097">
              <w:t>)</w:t>
            </w:r>
          </w:p>
        </w:tc>
        <w:tc>
          <w:tcPr>
            <w:tcW w:w="1800" w:type="dxa"/>
            <w:tcBorders>
              <w:top w:val="single" w:sz="4" w:space="0" w:color="auto"/>
              <w:left w:val="single" w:sz="4" w:space="0" w:color="auto"/>
              <w:bottom w:val="single" w:sz="4" w:space="0" w:color="auto"/>
              <w:right w:val="single" w:sz="4" w:space="0" w:color="auto"/>
            </w:tcBorders>
            <w:vAlign w:val="bottom"/>
          </w:tcPr>
          <w:p w14:paraId="6A518B4F" w14:textId="4375B6EA" w:rsidR="004473F2" w:rsidRDefault="004473F2" w:rsidP="00DF737B">
            <w:pPr>
              <w:jc w:val="center"/>
            </w:pPr>
            <w:r>
              <w:t>1.00 (0.99, 1.01</w:t>
            </w:r>
            <w:r w:rsidRPr="001600C8">
              <w:t>)</w:t>
            </w:r>
          </w:p>
        </w:tc>
      </w:tr>
      <w:tr w:rsidR="004473F2" w:rsidRPr="00E53613" w14:paraId="25F45D75" w14:textId="77777777" w:rsidTr="001B3C00">
        <w:tc>
          <w:tcPr>
            <w:tcW w:w="5035" w:type="dxa"/>
            <w:tcBorders>
              <w:top w:val="single" w:sz="4" w:space="0" w:color="auto"/>
              <w:left w:val="single" w:sz="4" w:space="0" w:color="auto"/>
              <w:bottom w:val="single" w:sz="4" w:space="0" w:color="auto"/>
              <w:right w:val="single" w:sz="4" w:space="0" w:color="auto"/>
            </w:tcBorders>
          </w:tcPr>
          <w:p w14:paraId="042001CB" w14:textId="77777777" w:rsidR="004473F2" w:rsidRDefault="004473F2" w:rsidP="00DF737B">
            <w:r>
              <w:t>Sex: Male</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F186C9" w14:textId="0DCD24AD" w:rsidR="004473F2" w:rsidRDefault="004473F2" w:rsidP="00DF737B">
            <w:pPr>
              <w:jc w:val="right"/>
            </w:pPr>
            <w:r>
              <w:t>1660 (36.60</w:t>
            </w:r>
            <w:r w:rsidRPr="00CF7097">
              <w:t>%)</w:t>
            </w:r>
          </w:p>
        </w:tc>
        <w:tc>
          <w:tcPr>
            <w:tcW w:w="1800" w:type="dxa"/>
            <w:tcBorders>
              <w:top w:val="single" w:sz="4" w:space="0" w:color="auto"/>
              <w:left w:val="single" w:sz="4" w:space="0" w:color="auto"/>
              <w:bottom w:val="single" w:sz="4" w:space="0" w:color="auto"/>
              <w:right w:val="single" w:sz="4" w:space="0" w:color="auto"/>
            </w:tcBorders>
            <w:vAlign w:val="bottom"/>
          </w:tcPr>
          <w:p w14:paraId="0E747D37" w14:textId="23573E49" w:rsidR="004473F2" w:rsidRPr="00E53613" w:rsidRDefault="004473F2" w:rsidP="00DF737B">
            <w:pPr>
              <w:jc w:val="center"/>
              <w:rPr>
                <w:b/>
              </w:rPr>
            </w:pPr>
            <w:r w:rsidRPr="00E53613">
              <w:rPr>
                <w:b/>
              </w:rPr>
              <w:t>0.</w:t>
            </w:r>
            <w:r>
              <w:rPr>
                <w:b/>
              </w:rPr>
              <w:t>7</w:t>
            </w:r>
            <w:r w:rsidRPr="00E53613">
              <w:rPr>
                <w:b/>
              </w:rPr>
              <w:t>8 (0.6</w:t>
            </w:r>
            <w:r>
              <w:rPr>
                <w:b/>
              </w:rPr>
              <w:t>7</w:t>
            </w:r>
            <w:r w:rsidRPr="00E53613">
              <w:rPr>
                <w:b/>
              </w:rPr>
              <w:t>, 0.9</w:t>
            </w:r>
            <w:r>
              <w:rPr>
                <w:b/>
              </w:rPr>
              <w:t>0</w:t>
            </w:r>
            <w:r w:rsidRPr="00E53613">
              <w:rPr>
                <w:b/>
              </w:rPr>
              <w:t>)</w:t>
            </w:r>
          </w:p>
        </w:tc>
      </w:tr>
      <w:tr w:rsidR="004473F2" w:rsidRPr="00E53613" w14:paraId="73821393" w14:textId="77777777" w:rsidTr="001B3C00">
        <w:tc>
          <w:tcPr>
            <w:tcW w:w="5035" w:type="dxa"/>
            <w:tcBorders>
              <w:top w:val="single" w:sz="4" w:space="0" w:color="auto"/>
              <w:left w:val="single" w:sz="4" w:space="0" w:color="auto"/>
              <w:bottom w:val="single" w:sz="4" w:space="0" w:color="auto"/>
              <w:right w:val="single" w:sz="4" w:space="0" w:color="auto"/>
            </w:tcBorders>
          </w:tcPr>
          <w:p w14:paraId="2AB20701" w14:textId="77777777" w:rsidR="004473F2" w:rsidRDefault="004473F2" w:rsidP="00DF737B">
            <w:r>
              <w:t>Procedure: THA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AC37F5E" w14:textId="1204B60D" w:rsidR="004473F2" w:rsidRDefault="004473F2" w:rsidP="00DF737B">
            <w:pPr>
              <w:jc w:val="right"/>
            </w:pPr>
            <w:r>
              <w:t>1530 (33.73%)</w:t>
            </w:r>
          </w:p>
        </w:tc>
        <w:tc>
          <w:tcPr>
            <w:tcW w:w="1800" w:type="dxa"/>
            <w:tcBorders>
              <w:top w:val="single" w:sz="4" w:space="0" w:color="auto"/>
              <w:left w:val="single" w:sz="4" w:space="0" w:color="auto"/>
              <w:bottom w:val="single" w:sz="4" w:space="0" w:color="auto"/>
              <w:right w:val="single" w:sz="4" w:space="0" w:color="auto"/>
            </w:tcBorders>
            <w:vAlign w:val="bottom"/>
          </w:tcPr>
          <w:p w14:paraId="7778E1F9" w14:textId="3E6F9CC3" w:rsidR="004473F2" w:rsidRPr="00E53613" w:rsidRDefault="004473F2" w:rsidP="00DF737B">
            <w:pPr>
              <w:jc w:val="center"/>
              <w:rPr>
                <w:b/>
              </w:rPr>
            </w:pPr>
            <w:r w:rsidRPr="00E53613">
              <w:rPr>
                <w:b/>
              </w:rPr>
              <w:t>1.</w:t>
            </w:r>
            <w:r>
              <w:rPr>
                <w:b/>
              </w:rPr>
              <w:t>40</w:t>
            </w:r>
            <w:r w:rsidRPr="00E53613">
              <w:rPr>
                <w:b/>
              </w:rPr>
              <w:t xml:space="preserve"> (1.</w:t>
            </w:r>
            <w:r>
              <w:rPr>
                <w:b/>
              </w:rPr>
              <w:t>19</w:t>
            </w:r>
            <w:r w:rsidRPr="00E53613">
              <w:rPr>
                <w:b/>
              </w:rPr>
              <w:t>, 1.</w:t>
            </w:r>
            <w:r>
              <w:rPr>
                <w:b/>
              </w:rPr>
              <w:t>64</w:t>
            </w:r>
            <w:r w:rsidRPr="00E53613">
              <w:rPr>
                <w:b/>
              </w:rPr>
              <w:t>)</w:t>
            </w:r>
          </w:p>
        </w:tc>
      </w:tr>
      <w:tr w:rsidR="004473F2" w14:paraId="68C55B02" w14:textId="77777777" w:rsidTr="001B3C00">
        <w:tc>
          <w:tcPr>
            <w:tcW w:w="5035" w:type="dxa"/>
            <w:tcBorders>
              <w:top w:val="single" w:sz="4" w:space="0" w:color="auto"/>
              <w:left w:val="single" w:sz="4" w:space="0" w:color="auto"/>
              <w:bottom w:val="single" w:sz="4" w:space="0" w:color="auto"/>
              <w:right w:val="single" w:sz="4" w:space="0" w:color="auto"/>
            </w:tcBorders>
          </w:tcPr>
          <w:p w14:paraId="6035F3FF" w14:textId="77777777" w:rsidR="004473F2" w:rsidRDefault="004473F2" w:rsidP="00DF737B">
            <w:r>
              <w:t>Bilateral procedure</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E78BF" w14:textId="59C8C2D9" w:rsidR="004473F2" w:rsidRDefault="004473F2" w:rsidP="00DF737B">
            <w:pPr>
              <w:jc w:val="right"/>
            </w:pPr>
            <w:r>
              <w:t>35 (0.77%)</w:t>
            </w:r>
          </w:p>
        </w:tc>
        <w:tc>
          <w:tcPr>
            <w:tcW w:w="1800" w:type="dxa"/>
            <w:tcBorders>
              <w:top w:val="single" w:sz="4" w:space="0" w:color="auto"/>
              <w:left w:val="single" w:sz="4" w:space="0" w:color="auto"/>
              <w:bottom w:val="single" w:sz="4" w:space="0" w:color="auto"/>
              <w:right w:val="single" w:sz="4" w:space="0" w:color="auto"/>
            </w:tcBorders>
            <w:vAlign w:val="bottom"/>
          </w:tcPr>
          <w:p w14:paraId="2321F51F" w14:textId="11749EBB" w:rsidR="004473F2" w:rsidRDefault="004473F2" w:rsidP="00DF737B">
            <w:pPr>
              <w:jc w:val="center"/>
            </w:pPr>
            <w:r>
              <w:t>1.42 (0.84, 2.40)</w:t>
            </w:r>
          </w:p>
        </w:tc>
      </w:tr>
      <w:tr w:rsidR="004473F2" w:rsidRPr="00564B20" w14:paraId="70C41A2A" w14:textId="77777777" w:rsidTr="001B3C00">
        <w:tc>
          <w:tcPr>
            <w:tcW w:w="5035" w:type="dxa"/>
            <w:tcBorders>
              <w:top w:val="single" w:sz="4" w:space="0" w:color="auto"/>
              <w:left w:val="single" w:sz="4" w:space="0" w:color="auto"/>
              <w:bottom w:val="nil"/>
              <w:right w:val="single" w:sz="4" w:space="0" w:color="auto"/>
            </w:tcBorders>
          </w:tcPr>
          <w:p w14:paraId="76415721" w14:textId="77777777" w:rsidR="004473F2" w:rsidRPr="00CA1E93" w:rsidRDefault="004473F2" w:rsidP="00B02852">
            <w:pPr>
              <w:rPr>
                <w:rFonts w:eastAsia="Times New Roman"/>
                <w:color w:val="000000"/>
              </w:rPr>
            </w:pPr>
            <w:r>
              <w:rPr>
                <w:rFonts w:eastAsia="Times New Roman"/>
                <w:color w:val="000000"/>
              </w:rPr>
              <w:t xml:space="preserve">Health Literacy (Comfort Filling Out Medical Forms by Yourself):   Not at all </w:t>
            </w:r>
            <w:r w:rsidRPr="001E509B">
              <w:rPr>
                <w:rFonts w:eastAsia="Times New Roman"/>
                <w:i/>
                <w:color w:val="000000"/>
              </w:rPr>
              <w:t>(Reference)</w:t>
            </w:r>
          </w:p>
        </w:tc>
        <w:tc>
          <w:tcPr>
            <w:tcW w:w="2250" w:type="dxa"/>
            <w:tcBorders>
              <w:top w:val="single" w:sz="4" w:space="0" w:color="auto"/>
              <w:left w:val="single" w:sz="4" w:space="0" w:color="auto"/>
              <w:bottom w:val="nil"/>
              <w:right w:val="single" w:sz="4" w:space="0" w:color="auto"/>
            </w:tcBorders>
          </w:tcPr>
          <w:p w14:paraId="00BFE2E4" w14:textId="77777777" w:rsidR="004473F2" w:rsidRDefault="004473F2" w:rsidP="00B02852">
            <w:pPr>
              <w:jc w:val="right"/>
            </w:pPr>
          </w:p>
          <w:p w14:paraId="43B89369" w14:textId="5C6FE63F" w:rsidR="004473F2" w:rsidRPr="008F7F38" w:rsidRDefault="004473F2" w:rsidP="00B02852">
            <w:pPr>
              <w:jc w:val="right"/>
            </w:pPr>
            <w:r>
              <w:t>663 (14.62%)</w:t>
            </w:r>
          </w:p>
        </w:tc>
        <w:tc>
          <w:tcPr>
            <w:tcW w:w="1800" w:type="dxa"/>
            <w:tcBorders>
              <w:top w:val="single" w:sz="4" w:space="0" w:color="auto"/>
              <w:left w:val="single" w:sz="4" w:space="0" w:color="auto"/>
              <w:bottom w:val="nil"/>
              <w:right w:val="single" w:sz="4" w:space="0" w:color="auto"/>
            </w:tcBorders>
          </w:tcPr>
          <w:p w14:paraId="725C8F3C" w14:textId="77777777" w:rsidR="004473F2" w:rsidRDefault="004473F2" w:rsidP="00B02852">
            <w:pPr>
              <w:jc w:val="center"/>
            </w:pPr>
          </w:p>
          <w:p w14:paraId="4F61AA03" w14:textId="63EFE7A2" w:rsidR="004473F2" w:rsidRPr="00564B20" w:rsidRDefault="004473F2" w:rsidP="00B02852">
            <w:pPr>
              <w:jc w:val="center"/>
            </w:pPr>
            <w:r>
              <w:t>--</w:t>
            </w:r>
          </w:p>
        </w:tc>
      </w:tr>
      <w:tr w:rsidR="004473F2" w:rsidRPr="00E53613" w14:paraId="3D83C34F" w14:textId="77777777" w:rsidTr="001B3C00">
        <w:tc>
          <w:tcPr>
            <w:tcW w:w="5035" w:type="dxa"/>
            <w:tcBorders>
              <w:top w:val="nil"/>
              <w:left w:val="single" w:sz="4" w:space="0" w:color="auto"/>
              <w:bottom w:val="nil"/>
              <w:right w:val="single" w:sz="4" w:space="0" w:color="auto"/>
            </w:tcBorders>
          </w:tcPr>
          <w:p w14:paraId="2E2CBEBC" w14:textId="77777777" w:rsidR="004473F2" w:rsidRPr="00046F0E" w:rsidRDefault="004473F2" w:rsidP="00B02852">
            <w:pPr>
              <w:ind w:left="1008"/>
              <w:rPr>
                <w:rFonts w:eastAsia="Times New Roman"/>
                <w:color w:val="000000"/>
              </w:rPr>
            </w:pPr>
            <w:r w:rsidRPr="00046F0E">
              <w:rPr>
                <w:rFonts w:eastAsia="Times New Roman"/>
                <w:color w:val="000000"/>
              </w:rPr>
              <w:t>A little bit</w:t>
            </w:r>
          </w:p>
        </w:tc>
        <w:tc>
          <w:tcPr>
            <w:tcW w:w="2250" w:type="dxa"/>
            <w:tcBorders>
              <w:top w:val="nil"/>
              <w:left w:val="single" w:sz="4" w:space="0" w:color="auto"/>
              <w:bottom w:val="nil"/>
              <w:right w:val="single" w:sz="4" w:space="0" w:color="auto"/>
            </w:tcBorders>
          </w:tcPr>
          <w:p w14:paraId="059E0758" w14:textId="4BE0D92D" w:rsidR="004473F2" w:rsidRPr="008F7F38" w:rsidRDefault="004473F2" w:rsidP="00B02852">
            <w:pPr>
              <w:jc w:val="right"/>
            </w:pPr>
            <w:r>
              <w:t>352 (7.76%)</w:t>
            </w:r>
          </w:p>
        </w:tc>
        <w:tc>
          <w:tcPr>
            <w:tcW w:w="1800" w:type="dxa"/>
            <w:tcBorders>
              <w:top w:val="nil"/>
              <w:left w:val="single" w:sz="4" w:space="0" w:color="auto"/>
              <w:bottom w:val="nil"/>
              <w:right w:val="single" w:sz="4" w:space="0" w:color="auto"/>
            </w:tcBorders>
          </w:tcPr>
          <w:p w14:paraId="1964725B" w14:textId="05960EFE" w:rsidR="004473F2" w:rsidRPr="00E53613" w:rsidRDefault="004473F2" w:rsidP="00B02852">
            <w:pPr>
              <w:jc w:val="center"/>
              <w:rPr>
                <w:b/>
              </w:rPr>
            </w:pPr>
            <w:r w:rsidRPr="007C069F">
              <w:t>1.16</w:t>
            </w:r>
            <w:r w:rsidRPr="00E53613">
              <w:rPr>
                <w:b/>
              </w:rPr>
              <w:t xml:space="preserve"> </w:t>
            </w:r>
            <w:r w:rsidRPr="007C069F">
              <w:t>(0.82,</w:t>
            </w:r>
            <w:r w:rsidRPr="00E53613">
              <w:rPr>
                <w:b/>
              </w:rPr>
              <w:t xml:space="preserve"> </w:t>
            </w:r>
            <w:r>
              <w:t>1.65</w:t>
            </w:r>
            <w:r w:rsidRPr="007C069F">
              <w:t>)</w:t>
            </w:r>
          </w:p>
        </w:tc>
      </w:tr>
      <w:tr w:rsidR="004473F2" w:rsidRPr="00E53613" w14:paraId="3211F3AC" w14:textId="77777777" w:rsidTr="001B3C00">
        <w:tc>
          <w:tcPr>
            <w:tcW w:w="5035" w:type="dxa"/>
            <w:tcBorders>
              <w:top w:val="nil"/>
              <w:left w:val="single" w:sz="4" w:space="0" w:color="auto"/>
              <w:bottom w:val="nil"/>
              <w:right w:val="single" w:sz="4" w:space="0" w:color="auto"/>
            </w:tcBorders>
          </w:tcPr>
          <w:p w14:paraId="02E874A9" w14:textId="77777777" w:rsidR="004473F2" w:rsidRPr="00046F0E" w:rsidRDefault="004473F2" w:rsidP="00B02852">
            <w:pPr>
              <w:ind w:left="1008"/>
              <w:rPr>
                <w:rFonts w:eastAsia="Times New Roman"/>
                <w:color w:val="000000"/>
              </w:rPr>
            </w:pPr>
            <w:r>
              <w:rPr>
                <w:rFonts w:eastAsia="Times New Roman"/>
                <w:color w:val="000000"/>
              </w:rPr>
              <w:t>S</w:t>
            </w:r>
            <w:r w:rsidRPr="00046F0E">
              <w:rPr>
                <w:rFonts w:eastAsia="Times New Roman"/>
                <w:color w:val="000000"/>
              </w:rPr>
              <w:t>omewhat</w:t>
            </w:r>
          </w:p>
        </w:tc>
        <w:tc>
          <w:tcPr>
            <w:tcW w:w="2250" w:type="dxa"/>
            <w:tcBorders>
              <w:top w:val="nil"/>
              <w:left w:val="single" w:sz="4" w:space="0" w:color="auto"/>
              <w:bottom w:val="nil"/>
              <w:right w:val="single" w:sz="4" w:space="0" w:color="auto"/>
            </w:tcBorders>
          </w:tcPr>
          <w:p w14:paraId="2AD02B65" w14:textId="0BF873EF" w:rsidR="004473F2" w:rsidRPr="008F7F38" w:rsidRDefault="004473F2" w:rsidP="00B02852">
            <w:pPr>
              <w:jc w:val="right"/>
            </w:pPr>
            <w:r>
              <w:t>524 (11.55%)</w:t>
            </w:r>
          </w:p>
        </w:tc>
        <w:tc>
          <w:tcPr>
            <w:tcW w:w="1800" w:type="dxa"/>
            <w:tcBorders>
              <w:top w:val="nil"/>
              <w:left w:val="single" w:sz="4" w:space="0" w:color="auto"/>
              <w:bottom w:val="nil"/>
              <w:right w:val="single" w:sz="4" w:space="0" w:color="auto"/>
            </w:tcBorders>
          </w:tcPr>
          <w:p w14:paraId="7E3AD533" w14:textId="68C9D148" w:rsidR="004473F2" w:rsidRPr="00E53613" w:rsidRDefault="004473F2" w:rsidP="00B02852">
            <w:pPr>
              <w:jc w:val="center"/>
              <w:rPr>
                <w:b/>
              </w:rPr>
            </w:pPr>
            <w:r>
              <w:rPr>
                <w:b/>
              </w:rPr>
              <w:t>1.73</w:t>
            </w:r>
            <w:r w:rsidRPr="00E53613">
              <w:rPr>
                <w:b/>
              </w:rPr>
              <w:t xml:space="preserve"> (1.</w:t>
            </w:r>
            <w:r>
              <w:rPr>
                <w:b/>
              </w:rPr>
              <w:t>27</w:t>
            </w:r>
            <w:r w:rsidRPr="00E53613">
              <w:rPr>
                <w:b/>
              </w:rPr>
              <w:t>, 2.</w:t>
            </w:r>
            <w:r>
              <w:rPr>
                <w:b/>
              </w:rPr>
              <w:t>36</w:t>
            </w:r>
            <w:r w:rsidRPr="00E53613">
              <w:rPr>
                <w:b/>
              </w:rPr>
              <w:t>)</w:t>
            </w:r>
          </w:p>
        </w:tc>
      </w:tr>
      <w:tr w:rsidR="004473F2" w:rsidRPr="00E53613" w14:paraId="15E41D32" w14:textId="77777777" w:rsidTr="001B3C00">
        <w:tc>
          <w:tcPr>
            <w:tcW w:w="5035" w:type="dxa"/>
            <w:tcBorders>
              <w:top w:val="nil"/>
              <w:left w:val="single" w:sz="4" w:space="0" w:color="auto"/>
              <w:bottom w:val="nil"/>
              <w:right w:val="single" w:sz="4" w:space="0" w:color="auto"/>
            </w:tcBorders>
          </w:tcPr>
          <w:p w14:paraId="75BDE7EB" w14:textId="77777777" w:rsidR="004473F2" w:rsidRPr="00046F0E" w:rsidRDefault="004473F2" w:rsidP="00B02852">
            <w:pPr>
              <w:ind w:left="1008"/>
              <w:rPr>
                <w:rFonts w:eastAsia="Times New Roman"/>
                <w:color w:val="000000"/>
              </w:rPr>
            </w:pPr>
            <w:r w:rsidRPr="00046F0E">
              <w:rPr>
                <w:rFonts w:eastAsia="Times New Roman"/>
                <w:color w:val="000000"/>
              </w:rPr>
              <w:t>Quite a bit</w:t>
            </w:r>
          </w:p>
        </w:tc>
        <w:tc>
          <w:tcPr>
            <w:tcW w:w="2250" w:type="dxa"/>
            <w:tcBorders>
              <w:top w:val="nil"/>
              <w:left w:val="single" w:sz="4" w:space="0" w:color="auto"/>
              <w:bottom w:val="nil"/>
              <w:right w:val="single" w:sz="4" w:space="0" w:color="auto"/>
            </w:tcBorders>
          </w:tcPr>
          <w:p w14:paraId="11772BCB" w14:textId="55845078" w:rsidR="004473F2" w:rsidRPr="008F7F38" w:rsidRDefault="004473F2" w:rsidP="00B02852">
            <w:pPr>
              <w:jc w:val="right"/>
            </w:pPr>
            <w:r>
              <w:t>853 (18.81%)</w:t>
            </w:r>
          </w:p>
        </w:tc>
        <w:tc>
          <w:tcPr>
            <w:tcW w:w="1800" w:type="dxa"/>
            <w:tcBorders>
              <w:top w:val="nil"/>
              <w:left w:val="single" w:sz="4" w:space="0" w:color="auto"/>
              <w:bottom w:val="nil"/>
              <w:right w:val="single" w:sz="4" w:space="0" w:color="auto"/>
            </w:tcBorders>
          </w:tcPr>
          <w:p w14:paraId="276CD996" w14:textId="216E9B0A" w:rsidR="004473F2" w:rsidRPr="00E53613" w:rsidRDefault="004473F2" w:rsidP="00B02852">
            <w:pPr>
              <w:jc w:val="center"/>
              <w:rPr>
                <w:b/>
              </w:rPr>
            </w:pPr>
            <w:r w:rsidRPr="00E53613">
              <w:rPr>
                <w:b/>
              </w:rPr>
              <w:t>2.</w:t>
            </w:r>
            <w:r>
              <w:rPr>
                <w:b/>
              </w:rPr>
              <w:t>10</w:t>
            </w:r>
            <w:r w:rsidRPr="00E53613">
              <w:rPr>
                <w:b/>
              </w:rPr>
              <w:t xml:space="preserve"> (1.</w:t>
            </w:r>
            <w:r>
              <w:rPr>
                <w:b/>
              </w:rPr>
              <w:t>58</w:t>
            </w:r>
            <w:r w:rsidRPr="00E53613">
              <w:rPr>
                <w:b/>
              </w:rPr>
              <w:t xml:space="preserve">, </w:t>
            </w:r>
            <w:r>
              <w:rPr>
                <w:b/>
              </w:rPr>
              <w:t>2.78</w:t>
            </w:r>
            <w:r w:rsidRPr="00E53613">
              <w:rPr>
                <w:b/>
              </w:rPr>
              <w:t>)</w:t>
            </w:r>
          </w:p>
        </w:tc>
      </w:tr>
      <w:tr w:rsidR="004473F2" w:rsidRPr="00E53613" w14:paraId="7A46B7E4" w14:textId="77777777" w:rsidTr="001B3C00">
        <w:tc>
          <w:tcPr>
            <w:tcW w:w="5035" w:type="dxa"/>
            <w:tcBorders>
              <w:top w:val="nil"/>
              <w:left w:val="single" w:sz="4" w:space="0" w:color="auto"/>
              <w:bottom w:val="single" w:sz="4" w:space="0" w:color="auto"/>
              <w:right w:val="single" w:sz="4" w:space="0" w:color="auto"/>
            </w:tcBorders>
          </w:tcPr>
          <w:p w14:paraId="6B40C880" w14:textId="77777777" w:rsidR="004473F2" w:rsidRPr="00046F0E" w:rsidRDefault="004473F2" w:rsidP="00B02852">
            <w:pPr>
              <w:ind w:left="1008"/>
              <w:rPr>
                <w:rFonts w:eastAsia="Times New Roman"/>
                <w:color w:val="000000"/>
              </w:rPr>
            </w:pPr>
            <w:r>
              <w:rPr>
                <w:rFonts w:eastAsia="Times New Roman"/>
                <w:color w:val="000000"/>
              </w:rPr>
              <w:t>E</w:t>
            </w:r>
            <w:r w:rsidRPr="00046F0E">
              <w:rPr>
                <w:rFonts w:eastAsia="Times New Roman"/>
                <w:color w:val="000000"/>
              </w:rPr>
              <w:t>xtremely</w:t>
            </w:r>
          </w:p>
        </w:tc>
        <w:tc>
          <w:tcPr>
            <w:tcW w:w="2250" w:type="dxa"/>
            <w:tcBorders>
              <w:top w:val="nil"/>
              <w:left w:val="single" w:sz="4" w:space="0" w:color="auto"/>
              <w:bottom w:val="single" w:sz="4" w:space="0" w:color="auto"/>
              <w:right w:val="single" w:sz="4" w:space="0" w:color="auto"/>
            </w:tcBorders>
          </w:tcPr>
          <w:p w14:paraId="2F58BF53" w14:textId="500FF1B8" w:rsidR="004473F2" w:rsidRPr="008F7F38" w:rsidRDefault="004473F2" w:rsidP="00B02852">
            <w:pPr>
              <w:jc w:val="right"/>
            </w:pPr>
            <w:r>
              <w:t>2144 (47.27%)</w:t>
            </w:r>
          </w:p>
        </w:tc>
        <w:tc>
          <w:tcPr>
            <w:tcW w:w="1800" w:type="dxa"/>
            <w:tcBorders>
              <w:top w:val="nil"/>
              <w:left w:val="single" w:sz="4" w:space="0" w:color="auto"/>
              <w:bottom w:val="single" w:sz="4" w:space="0" w:color="auto"/>
              <w:right w:val="single" w:sz="4" w:space="0" w:color="auto"/>
            </w:tcBorders>
          </w:tcPr>
          <w:p w14:paraId="6795D62F" w14:textId="2B3E86FB" w:rsidR="004473F2" w:rsidRPr="00E53613" w:rsidRDefault="004473F2" w:rsidP="00B02852">
            <w:pPr>
              <w:jc w:val="center"/>
              <w:rPr>
                <w:b/>
              </w:rPr>
            </w:pPr>
            <w:r w:rsidRPr="00E53613">
              <w:rPr>
                <w:b/>
              </w:rPr>
              <w:t>2.</w:t>
            </w:r>
            <w:r>
              <w:rPr>
                <w:b/>
              </w:rPr>
              <w:t>04</w:t>
            </w:r>
            <w:r w:rsidRPr="00E53613">
              <w:rPr>
                <w:b/>
              </w:rPr>
              <w:t xml:space="preserve"> (1.</w:t>
            </w:r>
            <w:r>
              <w:rPr>
                <w:b/>
              </w:rPr>
              <w:t>58</w:t>
            </w:r>
            <w:r w:rsidRPr="00E53613">
              <w:rPr>
                <w:b/>
              </w:rPr>
              <w:t xml:space="preserve">, </w:t>
            </w:r>
            <w:r>
              <w:rPr>
                <w:b/>
              </w:rPr>
              <w:t>2.64</w:t>
            </w:r>
            <w:r w:rsidRPr="00E53613">
              <w:rPr>
                <w:b/>
              </w:rPr>
              <w:t>)</w:t>
            </w:r>
          </w:p>
        </w:tc>
      </w:tr>
      <w:tr w:rsidR="004473F2" w:rsidRPr="00564B20" w14:paraId="4BE26DD9" w14:textId="77777777" w:rsidTr="001B3C00">
        <w:tc>
          <w:tcPr>
            <w:tcW w:w="5035" w:type="dxa"/>
            <w:tcBorders>
              <w:top w:val="single" w:sz="4" w:space="0" w:color="auto"/>
              <w:left w:val="single" w:sz="4" w:space="0" w:color="auto"/>
              <w:bottom w:val="nil"/>
              <w:right w:val="single" w:sz="4" w:space="0" w:color="auto"/>
            </w:tcBorders>
          </w:tcPr>
          <w:p w14:paraId="06099879" w14:textId="77777777" w:rsidR="004473F2" w:rsidRPr="00046F0E" w:rsidRDefault="004473F2" w:rsidP="00B02852">
            <w:pPr>
              <w:rPr>
                <w:rFonts w:eastAsia="Times New Roman"/>
                <w:i/>
                <w:color w:val="000000"/>
              </w:rPr>
            </w:pPr>
            <w:r w:rsidRPr="00046F0E">
              <w:rPr>
                <w:rFonts w:eastAsia="Times New Roman"/>
                <w:color w:val="000000"/>
              </w:rPr>
              <w:t>Back</w:t>
            </w:r>
            <w:r>
              <w:rPr>
                <w:rFonts w:eastAsia="Times New Roman"/>
                <w:color w:val="000000"/>
              </w:rPr>
              <w:t xml:space="preserve"> Pain</w:t>
            </w:r>
            <w:r w:rsidRPr="00046F0E">
              <w:rPr>
                <w:rFonts w:eastAsia="Times New Roman"/>
                <w:color w:val="000000"/>
              </w:rPr>
              <w:t xml:space="preserve">: </w:t>
            </w:r>
            <w:r>
              <w:rPr>
                <w:rFonts w:eastAsia="Times New Roman"/>
                <w:color w:val="000000"/>
              </w:rPr>
              <w:t xml:space="preserve"> </w:t>
            </w:r>
            <w:r w:rsidRPr="00046F0E">
              <w:rPr>
                <w:rFonts w:eastAsia="Times New Roman"/>
                <w:color w:val="000000"/>
              </w:rPr>
              <w:t xml:space="preserve">None </w:t>
            </w:r>
            <w:r>
              <w:rPr>
                <w:rFonts w:eastAsia="Times New Roman"/>
                <w:i/>
                <w:color w:val="000000"/>
              </w:rPr>
              <w:t>(Reference)</w:t>
            </w:r>
          </w:p>
        </w:tc>
        <w:tc>
          <w:tcPr>
            <w:tcW w:w="2250" w:type="dxa"/>
            <w:tcBorders>
              <w:top w:val="single" w:sz="4" w:space="0" w:color="auto"/>
              <w:left w:val="single" w:sz="4" w:space="0" w:color="auto"/>
              <w:bottom w:val="nil"/>
              <w:right w:val="single" w:sz="4" w:space="0" w:color="auto"/>
            </w:tcBorders>
          </w:tcPr>
          <w:p w14:paraId="392B0A23" w14:textId="5CC75511" w:rsidR="004473F2" w:rsidRPr="008F7F38" w:rsidRDefault="004473F2" w:rsidP="00B02852">
            <w:pPr>
              <w:jc w:val="right"/>
            </w:pPr>
            <w:r>
              <w:t>1754 (38.67%)</w:t>
            </w:r>
          </w:p>
        </w:tc>
        <w:tc>
          <w:tcPr>
            <w:tcW w:w="1800" w:type="dxa"/>
            <w:tcBorders>
              <w:top w:val="single" w:sz="4" w:space="0" w:color="auto"/>
              <w:left w:val="single" w:sz="4" w:space="0" w:color="auto"/>
              <w:bottom w:val="nil"/>
              <w:right w:val="single" w:sz="4" w:space="0" w:color="auto"/>
            </w:tcBorders>
          </w:tcPr>
          <w:p w14:paraId="3E43D8D6" w14:textId="0D2A70B4" w:rsidR="004473F2" w:rsidRPr="00564B20" w:rsidRDefault="004473F2" w:rsidP="00B02852">
            <w:pPr>
              <w:jc w:val="center"/>
            </w:pPr>
            <w:r>
              <w:t>--</w:t>
            </w:r>
          </w:p>
        </w:tc>
      </w:tr>
      <w:tr w:rsidR="004473F2" w:rsidRPr="00E53613" w14:paraId="22136022" w14:textId="77777777" w:rsidTr="001B3C00">
        <w:tc>
          <w:tcPr>
            <w:tcW w:w="5035" w:type="dxa"/>
            <w:tcBorders>
              <w:top w:val="nil"/>
              <w:left w:val="single" w:sz="4" w:space="0" w:color="auto"/>
              <w:bottom w:val="nil"/>
              <w:right w:val="single" w:sz="4" w:space="0" w:color="auto"/>
            </w:tcBorders>
          </w:tcPr>
          <w:p w14:paraId="489CEB15" w14:textId="77777777" w:rsidR="004473F2" w:rsidRPr="00046F0E" w:rsidRDefault="004473F2" w:rsidP="00B02852">
            <w:pPr>
              <w:ind w:left="1008"/>
              <w:rPr>
                <w:rFonts w:eastAsia="Times New Roman"/>
                <w:color w:val="000000"/>
              </w:rPr>
            </w:pPr>
            <w:r w:rsidRPr="00046F0E">
              <w:rPr>
                <w:rFonts w:eastAsia="Times New Roman"/>
                <w:color w:val="000000"/>
              </w:rPr>
              <w:t>Very mild</w:t>
            </w:r>
          </w:p>
        </w:tc>
        <w:tc>
          <w:tcPr>
            <w:tcW w:w="2250" w:type="dxa"/>
            <w:tcBorders>
              <w:top w:val="nil"/>
              <w:left w:val="single" w:sz="4" w:space="0" w:color="auto"/>
              <w:bottom w:val="nil"/>
              <w:right w:val="single" w:sz="4" w:space="0" w:color="auto"/>
            </w:tcBorders>
          </w:tcPr>
          <w:p w14:paraId="46F368E2" w14:textId="6617680E" w:rsidR="004473F2" w:rsidRPr="008F7F38" w:rsidRDefault="004473F2" w:rsidP="00B02852">
            <w:pPr>
              <w:jc w:val="right"/>
            </w:pPr>
            <w:r>
              <w:t>1074 (23.68%)</w:t>
            </w:r>
          </w:p>
        </w:tc>
        <w:tc>
          <w:tcPr>
            <w:tcW w:w="1800" w:type="dxa"/>
            <w:tcBorders>
              <w:top w:val="nil"/>
              <w:left w:val="single" w:sz="4" w:space="0" w:color="auto"/>
              <w:bottom w:val="nil"/>
              <w:right w:val="single" w:sz="4" w:space="0" w:color="auto"/>
            </w:tcBorders>
          </w:tcPr>
          <w:p w14:paraId="6B6BCFE4" w14:textId="303259B8" w:rsidR="004473F2" w:rsidRPr="00E53613" w:rsidRDefault="004473F2" w:rsidP="00B02852">
            <w:pPr>
              <w:jc w:val="center"/>
              <w:rPr>
                <w:b/>
              </w:rPr>
            </w:pPr>
            <w:r>
              <w:t>0.</w:t>
            </w:r>
            <w:r w:rsidRPr="007C069F">
              <w:t>85 (0.</w:t>
            </w:r>
            <w:r>
              <w:t>70</w:t>
            </w:r>
            <w:r w:rsidRPr="007C069F">
              <w:t xml:space="preserve">, </w:t>
            </w:r>
            <w:r>
              <w:t>1.02</w:t>
            </w:r>
            <w:r w:rsidRPr="007C069F">
              <w:t>)</w:t>
            </w:r>
          </w:p>
        </w:tc>
      </w:tr>
      <w:tr w:rsidR="004473F2" w:rsidRPr="00E53613" w14:paraId="71D97A12" w14:textId="77777777" w:rsidTr="001B3C00">
        <w:tc>
          <w:tcPr>
            <w:tcW w:w="5035" w:type="dxa"/>
            <w:tcBorders>
              <w:top w:val="nil"/>
              <w:left w:val="single" w:sz="4" w:space="0" w:color="auto"/>
              <w:bottom w:val="nil"/>
              <w:right w:val="single" w:sz="4" w:space="0" w:color="auto"/>
            </w:tcBorders>
          </w:tcPr>
          <w:p w14:paraId="5C5BBDF5" w14:textId="77777777" w:rsidR="004473F2" w:rsidRPr="00046F0E" w:rsidRDefault="004473F2" w:rsidP="00B02852">
            <w:pPr>
              <w:ind w:left="1008"/>
              <w:rPr>
                <w:rFonts w:eastAsia="Times New Roman"/>
                <w:color w:val="000000"/>
              </w:rPr>
            </w:pPr>
            <w:r w:rsidRPr="00046F0E">
              <w:rPr>
                <w:rFonts w:eastAsia="Times New Roman"/>
                <w:color w:val="000000"/>
              </w:rPr>
              <w:t>Moderate</w:t>
            </w:r>
          </w:p>
        </w:tc>
        <w:tc>
          <w:tcPr>
            <w:tcW w:w="2250" w:type="dxa"/>
            <w:tcBorders>
              <w:top w:val="nil"/>
              <w:left w:val="single" w:sz="4" w:space="0" w:color="auto"/>
              <w:bottom w:val="nil"/>
              <w:right w:val="single" w:sz="4" w:space="0" w:color="auto"/>
            </w:tcBorders>
          </w:tcPr>
          <w:p w14:paraId="46935664" w14:textId="2AFFDD18" w:rsidR="004473F2" w:rsidRPr="008F7F38" w:rsidRDefault="004473F2" w:rsidP="00B02852">
            <w:pPr>
              <w:jc w:val="right"/>
            </w:pPr>
            <w:r>
              <w:t>1156 (25.49%)</w:t>
            </w:r>
          </w:p>
        </w:tc>
        <w:tc>
          <w:tcPr>
            <w:tcW w:w="1800" w:type="dxa"/>
            <w:tcBorders>
              <w:top w:val="nil"/>
              <w:left w:val="single" w:sz="4" w:space="0" w:color="auto"/>
              <w:bottom w:val="nil"/>
              <w:right w:val="single" w:sz="4" w:space="0" w:color="auto"/>
            </w:tcBorders>
          </w:tcPr>
          <w:p w14:paraId="701507CF" w14:textId="16A8C7C1" w:rsidR="004473F2" w:rsidRPr="00E53613" w:rsidRDefault="004473F2" w:rsidP="00B02852">
            <w:pPr>
              <w:jc w:val="center"/>
              <w:rPr>
                <w:b/>
              </w:rPr>
            </w:pPr>
            <w:r w:rsidRPr="007C069F">
              <w:t>0.</w:t>
            </w:r>
            <w:r>
              <w:t>85</w:t>
            </w:r>
            <w:r w:rsidRPr="007C069F">
              <w:t xml:space="preserve"> (0.</w:t>
            </w:r>
            <w:r>
              <w:t>7</w:t>
            </w:r>
            <w:r w:rsidRPr="007C069F">
              <w:t xml:space="preserve">1, </w:t>
            </w:r>
            <w:r>
              <w:t>1.03</w:t>
            </w:r>
            <w:r w:rsidRPr="007C069F">
              <w:t>)</w:t>
            </w:r>
          </w:p>
        </w:tc>
      </w:tr>
      <w:tr w:rsidR="004473F2" w:rsidRPr="00564B20" w14:paraId="19B78DE4" w14:textId="77777777" w:rsidTr="001B3C00">
        <w:tc>
          <w:tcPr>
            <w:tcW w:w="5035" w:type="dxa"/>
            <w:tcBorders>
              <w:top w:val="nil"/>
              <w:left w:val="single" w:sz="4" w:space="0" w:color="auto"/>
              <w:bottom w:val="nil"/>
              <w:right w:val="single" w:sz="4" w:space="0" w:color="auto"/>
            </w:tcBorders>
          </w:tcPr>
          <w:p w14:paraId="3F2CF7B4" w14:textId="77777777" w:rsidR="004473F2" w:rsidRPr="00046F0E" w:rsidRDefault="004473F2" w:rsidP="00B02852">
            <w:pPr>
              <w:ind w:left="1008"/>
              <w:rPr>
                <w:rFonts w:eastAsia="Times New Roman"/>
                <w:color w:val="000000"/>
              </w:rPr>
            </w:pPr>
            <w:r w:rsidRPr="00046F0E">
              <w:rPr>
                <w:rFonts w:eastAsia="Times New Roman"/>
                <w:color w:val="000000"/>
              </w:rPr>
              <w:t>Fairly severe</w:t>
            </w:r>
          </w:p>
        </w:tc>
        <w:tc>
          <w:tcPr>
            <w:tcW w:w="2250" w:type="dxa"/>
            <w:tcBorders>
              <w:top w:val="nil"/>
              <w:left w:val="single" w:sz="4" w:space="0" w:color="auto"/>
              <w:bottom w:val="nil"/>
              <w:right w:val="single" w:sz="4" w:space="0" w:color="auto"/>
            </w:tcBorders>
          </w:tcPr>
          <w:p w14:paraId="3B279546" w14:textId="34D1ACCC" w:rsidR="004473F2" w:rsidRPr="008F7F38" w:rsidRDefault="004473F2" w:rsidP="00B02852">
            <w:pPr>
              <w:jc w:val="right"/>
            </w:pPr>
            <w:r>
              <w:t>391 (8.62%)</w:t>
            </w:r>
          </w:p>
        </w:tc>
        <w:tc>
          <w:tcPr>
            <w:tcW w:w="1800" w:type="dxa"/>
            <w:tcBorders>
              <w:top w:val="nil"/>
              <w:left w:val="single" w:sz="4" w:space="0" w:color="auto"/>
              <w:bottom w:val="nil"/>
              <w:right w:val="single" w:sz="4" w:space="0" w:color="auto"/>
            </w:tcBorders>
          </w:tcPr>
          <w:p w14:paraId="3EC4A9EC" w14:textId="6403FDC5" w:rsidR="004473F2" w:rsidRPr="00564B20" w:rsidRDefault="004473F2" w:rsidP="00B02852">
            <w:pPr>
              <w:jc w:val="center"/>
            </w:pPr>
            <w:r>
              <w:t>1.03 (0.78, 1.37)</w:t>
            </w:r>
          </w:p>
        </w:tc>
      </w:tr>
      <w:tr w:rsidR="004473F2" w:rsidRPr="00E53613" w14:paraId="53F2A36E" w14:textId="77777777" w:rsidTr="001B3C00">
        <w:tc>
          <w:tcPr>
            <w:tcW w:w="5035" w:type="dxa"/>
            <w:tcBorders>
              <w:top w:val="nil"/>
              <w:left w:val="single" w:sz="4" w:space="0" w:color="auto"/>
              <w:bottom w:val="single" w:sz="4" w:space="0" w:color="auto"/>
              <w:right w:val="single" w:sz="4" w:space="0" w:color="auto"/>
            </w:tcBorders>
          </w:tcPr>
          <w:p w14:paraId="31CB1E6C" w14:textId="77777777" w:rsidR="004473F2" w:rsidRPr="00046F0E" w:rsidRDefault="004473F2" w:rsidP="00B02852">
            <w:pPr>
              <w:ind w:left="1008"/>
              <w:rPr>
                <w:rFonts w:eastAsia="Times New Roman"/>
                <w:color w:val="000000"/>
              </w:rPr>
            </w:pPr>
            <w:r w:rsidRPr="00046F0E">
              <w:rPr>
                <w:rFonts w:eastAsia="Times New Roman"/>
                <w:color w:val="000000"/>
              </w:rPr>
              <w:t>Very severe or worst imaginable</w:t>
            </w:r>
          </w:p>
        </w:tc>
        <w:tc>
          <w:tcPr>
            <w:tcW w:w="2250" w:type="dxa"/>
            <w:tcBorders>
              <w:top w:val="nil"/>
              <w:left w:val="single" w:sz="4" w:space="0" w:color="auto"/>
              <w:bottom w:val="single" w:sz="4" w:space="0" w:color="auto"/>
              <w:right w:val="single" w:sz="4" w:space="0" w:color="auto"/>
            </w:tcBorders>
          </w:tcPr>
          <w:p w14:paraId="585AF0B8" w14:textId="6ADEE819" w:rsidR="004473F2" w:rsidRPr="008F7F38" w:rsidRDefault="004473F2" w:rsidP="00B02852">
            <w:pPr>
              <w:jc w:val="right"/>
            </w:pPr>
            <w:r>
              <w:t>161 (3.55%)</w:t>
            </w:r>
          </w:p>
        </w:tc>
        <w:tc>
          <w:tcPr>
            <w:tcW w:w="1800" w:type="dxa"/>
            <w:tcBorders>
              <w:top w:val="nil"/>
              <w:left w:val="single" w:sz="4" w:space="0" w:color="auto"/>
              <w:bottom w:val="single" w:sz="4" w:space="0" w:color="auto"/>
              <w:right w:val="single" w:sz="4" w:space="0" w:color="auto"/>
            </w:tcBorders>
          </w:tcPr>
          <w:p w14:paraId="0FF56364" w14:textId="082B536C" w:rsidR="004473F2" w:rsidRPr="00E53613" w:rsidRDefault="004473F2" w:rsidP="00B02852">
            <w:pPr>
              <w:jc w:val="center"/>
              <w:rPr>
                <w:b/>
              </w:rPr>
            </w:pPr>
            <w:r w:rsidRPr="00E53613">
              <w:rPr>
                <w:b/>
              </w:rPr>
              <w:t>1.7</w:t>
            </w:r>
            <w:r>
              <w:rPr>
                <w:b/>
              </w:rPr>
              <w:t>0</w:t>
            </w:r>
            <w:r w:rsidRPr="00E53613">
              <w:rPr>
                <w:b/>
              </w:rPr>
              <w:t xml:space="preserve"> (1.0</w:t>
            </w:r>
            <w:r>
              <w:rPr>
                <w:b/>
              </w:rPr>
              <w:t>6</w:t>
            </w:r>
            <w:r w:rsidRPr="00E53613">
              <w:rPr>
                <w:b/>
              </w:rPr>
              <w:t>, 2.7</w:t>
            </w:r>
            <w:r>
              <w:rPr>
                <w:b/>
              </w:rPr>
              <w:t>1</w:t>
            </w:r>
            <w:r w:rsidRPr="00E53613">
              <w:rPr>
                <w:b/>
              </w:rPr>
              <w:t>)</w:t>
            </w:r>
          </w:p>
        </w:tc>
      </w:tr>
      <w:tr w:rsidR="004473F2" w:rsidRPr="00564B20" w14:paraId="22B3554E" w14:textId="77777777" w:rsidTr="001B3C00">
        <w:tc>
          <w:tcPr>
            <w:tcW w:w="5035" w:type="dxa"/>
            <w:tcBorders>
              <w:top w:val="single" w:sz="4" w:space="0" w:color="auto"/>
              <w:left w:val="single" w:sz="4" w:space="0" w:color="auto"/>
              <w:bottom w:val="nil"/>
              <w:right w:val="single" w:sz="4" w:space="0" w:color="auto"/>
            </w:tcBorders>
          </w:tcPr>
          <w:p w14:paraId="1E74A454" w14:textId="77777777" w:rsidR="004473F2" w:rsidRDefault="004473F2" w:rsidP="00B02852">
            <w:pPr>
              <w:rPr>
                <w:rFonts w:eastAsia="Times New Roman"/>
                <w:color w:val="000000"/>
              </w:rPr>
            </w:pPr>
            <w:r w:rsidRPr="00046F0E">
              <w:rPr>
                <w:rFonts w:eastAsia="Times New Roman"/>
                <w:color w:val="000000"/>
              </w:rPr>
              <w:t xml:space="preserve">Pain in Non-Operative Lower Extremity Joint: </w:t>
            </w:r>
          </w:p>
          <w:p w14:paraId="7BD0FD88" w14:textId="77777777" w:rsidR="004473F2" w:rsidRPr="00046F0E" w:rsidRDefault="004473F2" w:rsidP="00B02852">
            <w:pPr>
              <w:ind w:left="1008"/>
              <w:rPr>
                <w:rFonts w:eastAsia="Times New Roman"/>
                <w:color w:val="000000"/>
              </w:rPr>
            </w:pPr>
            <w:r w:rsidRPr="00046F0E">
              <w:rPr>
                <w:rFonts w:eastAsia="Times New Roman"/>
                <w:color w:val="000000"/>
              </w:rPr>
              <w:t xml:space="preserve">None </w:t>
            </w:r>
            <w:r>
              <w:rPr>
                <w:rFonts w:eastAsia="Times New Roman"/>
                <w:i/>
                <w:color w:val="000000"/>
              </w:rPr>
              <w:t>(Reference)</w:t>
            </w:r>
          </w:p>
        </w:tc>
        <w:tc>
          <w:tcPr>
            <w:tcW w:w="2250" w:type="dxa"/>
            <w:tcBorders>
              <w:top w:val="single" w:sz="4" w:space="0" w:color="auto"/>
              <w:left w:val="single" w:sz="4" w:space="0" w:color="auto"/>
              <w:bottom w:val="nil"/>
              <w:right w:val="single" w:sz="4" w:space="0" w:color="auto"/>
            </w:tcBorders>
          </w:tcPr>
          <w:p w14:paraId="335F889E" w14:textId="77777777" w:rsidR="004473F2" w:rsidRDefault="004473F2" w:rsidP="00B02852">
            <w:pPr>
              <w:jc w:val="right"/>
            </w:pPr>
          </w:p>
          <w:p w14:paraId="1B9B5480" w14:textId="7308F3A8" w:rsidR="004473F2" w:rsidRPr="008F7F38" w:rsidRDefault="004473F2" w:rsidP="00B02852">
            <w:pPr>
              <w:jc w:val="right"/>
            </w:pPr>
            <w:r>
              <w:t>1552 (34.22%)</w:t>
            </w:r>
          </w:p>
        </w:tc>
        <w:tc>
          <w:tcPr>
            <w:tcW w:w="1800" w:type="dxa"/>
            <w:tcBorders>
              <w:top w:val="single" w:sz="4" w:space="0" w:color="auto"/>
              <w:left w:val="single" w:sz="4" w:space="0" w:color="auto"/>
              <w:bottom w:val="nil"/>
              <w:right w:val="single" w:sz="4" w:space="0" w:color="auto"/>
            </w:tcBorders>
          </w:tcPr>
          <w:p w14:paraId="04147160" w14:textId="77777777" w:rsidR="004473F2" w:rsidRDefault="004473F2" w:rsidP="00B02852">
            <w:pPr>
              <w:jc w:val="center"/>
            </w:pPr>
          </w:p>
          <w:p w14:paraId="3B8CC6CC" w14:textId="1F4E230E" w:rsidR="004473F2" w:rsidRPr="00564B20" w:rsidRDefault="004473F2" w:rsidP="00B02852">
            <w:pPr>
              <w:jc w:val="center"/>
            </w:pPr>
            <w:r>
              <w:t>--</w:t>
            </w:r>
          </w:p>
        </w:tc>
      </w:tr>
      <w:tr w:rsidR="004473F2" w:rsidRPr="00E53613" w14:paraId="00DA7AC6" w14:textId="77777777" w:rsidTr="001B3C00">
        <w:tc>
          <w:tcPr>
            <w:tcW w:w="5035" w:type="dxa"/>
            <w:tcBorders>
              <w:top w:val="nil"/>
              <w:left w:val="single" w:sz="4" w:space="0" w:color="auto"/>
              <w:bottom w:val="nil"/>
              <w:right w:val="single" w:sz="4" w:space="0" w:color="auto"/>
            </w:tcBorders>
          </w:tcPr>
          <w:p w14:paraId="54DC58F7" w14:textId="77777777" w:rsidR="004473F2" w:rsidRPr="004C6EFB" w:rsidRDefault="004473F2" w:rsidP="00B02852">
            <w:pPr>
              <w:ind w:left="1008"/>
              <w:rPr>
                <w:rFonts w:eastAsia="Times New Roman"/>
                <w:color w:val="000000"/>
              </w:rPr>
            </w:pPr>
            <w:r w:rsidRPr="004C6EFB">
              <w:rPr>
                <w:rFonts w:eastAsia="Times New Roman"/>
                <w:color w:val="000000"/>
              </w:rPr>
              <w:t>Mild</w:t>
            </w:r>
          </w:p>
        </w:tc>
        <w:tc>
          <w:tcPr>
            <w:tcW w:w="2250" w:type="dxa"/>
            <w:tcBorders>
              <w:top w:val="nil"/>
              <w:left w:val="single" w:sz="4" w:space="0" w:color="auto"/>
              <w:bottom w:val="nil"/>
              <w:right w:val="single" w:sz="4" w:space="0" w:color="auto"/>
            </w:tcBorders>
          </w:tcPr>
          <w:p w14:paraId="244DEE73" w14:textId="39786134" w:rsidR="004473F2" w:rsidRPr="008F7F38" w:rsidRDefault="004473F2" w:rsidP="00B02852">
            <w:pPr>
              <w:jc w:val="right"/>
            </w:pPr>
            <w:r>
              <w:t>1125 (24.80%)</w:t>
            </w:r>
          </w:p>
        </w:tc>
        <w:tc>
          <w:tcPr>
            <w:tcW w:w="1800" w:type="dxa"/>
            <w:tcBorders>
              <w:top w:val="nil"/>
              <w:left w:val="single" w:sz="4" w:space="0" w:color="auto"/>
              <w:bottom w:val="nil"/>
              <w:right w:val="single" w:sz="4" w:space="0" w:color="auto"/>
            </w:tcBorders>
          </w:tcPr>
          <w:p w14:paraId="02DD5A36" w14:textId="13A385E3" w:rsidR="004473F2" w:rsidRPr="00E53613" w:rsidRDefault="004473F2" w:rsidP="00B02852">
            <w:pPr>
              <w:jc w:val="center"/>
              <w:rPr>
                <w:b/>
              </w:rPr>
            </w:pPr>
            <w:r w:rsidRPr="007C069F">
              <w:t>0.</w:t>
            </w:r>
            <w:r>
              <w:t>85</w:t>
            </w:r>
            <w:r w:rsidRPr="007C069F">
              <w:t xml:space="preserve"> (0.</w:t>
            </w:r>
            <w:r>
              <w:t>70</w:t>
            </w:r>
            <w:r w:rsidRPr="007C069F">
              <w:t xml:space="preserve">, </w:t>
            </w:r>
            <w:r>
              <w:t>1.03</w:t>
            </w:r>
            <w:r w:rsidRPr="007C069F">
              <w:t>)</w:t>
            </w:r>
          </w:p>
        </w:tc>
      </w:tr>
      <w:tr w:rsidR="004473F2" w:rsidRPr="00564B20" w14:paraId="04FA363D" w14:textId="77777777" w:rsidTr="001B3C00">
        <w:tc>
          <w:tcPr>
            <w:tcW w:w="5035" w:type="dxa"/>
            <w:tcBorders>
              <w:top w:val="nil"/>
              <w:left w:val="single" w:sz="4" w:space="0" w:color="auto"/>
              <w:bottom w:val="nil"/>
              <w:right w:val="single" w:sz="4" w:space="0" w:color="auto"/>
            </w:tcBorders>
          </w:tcPr>
          <w:p w14:paraId="58A4B767" w14:textId="77777777" w:rsidR="004473F2" w:rsidRPr="004C6EFB" w:rsidRDefault="004473F2" w:rsidP="00B02852">
            <w:pPr>
              <w:ind w:left="1008"/>
              <w:rPr>
                <w:rFonts w:eastAsia="Times New Roman"/>
                <w:color w:val="000000"/>
              </w:rPr>
            </w:pPr>
            <w:r w:rsidRPr="004C6EFB">
              <w:rPr>
                <w:rFonts w:eastAsia="Times New Roman"/>
                <w:color w:val="000000"/>
              </w:rPr>
              <w:t>Moderate</w:t>
            </w:r>
          </w:p>
        </w:tc>
        <w:tc>
          <w:tcPr>
            <w:tcW w:w="2250" w:type="dxa"/>
            <w:tcBorders>
              <w:top w:val="nil"/>
              <w:left w:val="single" w:sz="4" w:space="0" w:color="auto"/>
              <w:bottom w:val="nil"/>
              <w:right w:val="single" w:sz="4" w:space="0" w:color="auto"/>
            </w:tcBorders>
          </w:tcPr>
          <w:p w14:paraId="421CC11B" w14:textId="5A35D464" w:rsidR="004473F2" w:rsidRPr="008F7F38" w:rsidRDefault="004473F2" w:rsidP="00B02852">
            <w:pPr>
              <w:jc w:val="right"/>
            </w:pPr>
            <w:r>
              <w:t>1079 (23.79%)</w:t>
            </w:r>
          </w:p>
        </w:tc>
        <w:tc>
          <w:tcPr>
            <w:tcW w:w="1800" w:type="dxa"/>
            <w:tcBorders>
              <w:top w:val="nil"/>
              <w:left w:val="single" w:sz="4" w:space="0" w:color="auto"/>
              <w:bottom w:val="nil"/>
              <w:right w:val="single" w:sz="4" w:space="0" w:color="auto"/>
            </w:tcBorders>
          </w:tcPr>
          <w:p w14:paraId="1263427B" w14:textId="035418FB" w:rsidR="004473F2" w:rsidRPr="00564B20" w:rsidRDefault="004473F2" w:rsidP="00B02852">
            <w:pPr>
              <w:jc w:val="center"/>
            </w:pPr>
            <w:r>
              <w:t>0.93 (0.76, 1.14)</w:t>
            </w:r>
          </w:p>
        </w:tc>
      </w:tr>
      <w:tr w:rsidR="004473F2" w:rsidRPr="00564B20" w14:paraId="7CA62DDE" w14:textId="77777777" w:rsidTr="001B3C00">
        <w:tc>
          <w:tcPr>
            <w:tcW w:w="5035" w:type="dxa"/>
            <w:tcBorders>
              <w:top w:val="nil"/>
              <w:left w:val="single" w:sz="4" w:space="0" w:color="auto"/>
              <w:bottom w:val="single" w:sz="4" w:space="0" w:color="auto"/>
              <w:right w:val="single" w:sz="4" w:space="0" w:color="auto"/>
            </w:tcBorders>
          </w:tcPr>
          <w:p w14:paraId="0DFF7590" w14:textId="77777777" w:rsidR="004473F2" w:rsidRDefault="004473F2" w:rsidP="00B02852">
            <w:pPr>
              <w:ind w:left="1008"/>
              <w:rPr>
                <w:rFonts w:eastAsia="Times New Roman"/>
                <w:color w:val="000000"/>
              </w:rPr>
            </w:pPr>
            <w:r>
              <w:rPr>
                <w:rFonts w:eastAsia="Times New Roman"/>
                <w:color w:val="000000"/>
              </w:rPr>
              <w:t>Severe</w:t>
            </w:r>
          </w:p>
          <w:p w14:paraId="1C4DE005" w14:textId="77777777" w:rsidR="004473F2" w:rsidRPr="004C6EFB" w:rsidRDefault="004473F2" w:rsidP="00B02852">
            <w:pPr>
              <w:ind w:left="1008"/>
              <w:rPr>
                <w:rFonts w:eastAsia="Times New Roman"/>
                <w:color w:val="000000"/>
              </w:rPr>
            </w:pPr>
            <w:r w:rsidRPr="004C6EFB">
              <w:rPr>
                <w:rFonts w:eastAsia="Times New Roman"/>
                <w:color w:val="000000"/>
              </w:rPr>
              <w:t>Extreme</w:t>
            </w:r>
          </w:p>
        </w:tc>
        <w:tc>
          <w:tcPr>
            <w:tcW w:w="2250" w:type="dxa"/>
            <w:tcBorders>
              <w:top w:val="nil"/>
              <w:left w:val="single" w:sz="4" w:space="0" w:color="auto"/>
              <w:bottom w:val="single" w:sz="4" w:space="0" w:color="auto"/>
              <w:right w:val="single" w:sz="4" w:space="0" w:color="auto"/>
            </w:tcBorders>
          </w:tcPr>
          <w:p w14:paraId="5E21EBA0" w14:textId="77777777" w:rsidR="004473F2" w:rsidRDefault="004473F2" w:rsidP="00B02852">
            <w:pPr>
              <w:jc w:val="right"/>
            </w:pPr>
            <w:r>
              <w:t>635 (14.00%)</w:t>
            </w:r>
          </w:p>
          <w:p w14:paraId="7297D6F6" w14:textId="56593729" w:rsidR="004473F2" w:rsidRPr="008F7F38" w:rsidRDefault="004473F2" w:rsidP="00B02852">
            <w:pPr>
              <w:jc w:val="right"/>
            </w:pPr>
            <w:r>
              <w:t>145 (3.20%)</w:t>
            </w:r>
          </w:p>
        </w:tc>
        <w:tc>
          <w:tcPr>
            <w:tcW w:w="1800" w:type="dxa"/>
            <w:tcBorders>
              <w:top w:val="nil"/>
              <w:left w:val="single" w:sz="4" w:space="0" w:color="auto"/>
              <w:bottom w:val="single" w:sz="4" w:space="0" w:color="auto"/>
              <w:right w:val="single" w:sz="4" w:space="0" w:color="auto"/>
            </w:tcBorders>
          </w:tcPr>
          <w:p w14:paraId="4C4EFB8C" w14:textId="77777777" w:rsidR="004473F2" w:rsidRPr="007C069F" w:rsidRDefault="004473F2" w:rsidP="00B02852">
            <w:pPr>
              <w:jc w:val="center"/>
              <w:rPr>
                <w:b/>
              </w:rPr>
            </w:pPr>
            <w:r w:rsidRPr="007C069F">
              <w:rPr>
                <w:b/>
              </w:rPr>
              <w:t>1.38 (1.07, 1.77)</w:t>
            </w:r>
          </w:p>
          <w:p w14:paraId="1D77167B" w14:textId="0D1503B4" w:rsidR="004473F2" w:rsidRPr="00564B20" w:rsidRDefault="004473F2" w:rsidP="00B02852">
            <w:pPr>
              <w:jc w:val="center"/>
            </w:pPr>
            <w:r w:rsidRPr="007C069F">
              <w:rPr>
                <w:b/>
              </w:rPr>
              <w:t>1.97 (1.23, 3.18)</w:t>
            </w:r>
          </w:p>
        </w:tc>
      </w:tr>
      <w:tr w:rsidR="004473F2" w:rsidRPr="00564B20" w14:paraId="4C09FB0B" w14:textId="77777777" w:rsidTr="001B3C00">
        <w:tc>
          <w:tcPr>
            <w:tcW w:w="5035" w:type="dxa"/>
            <w:tcBorders>
              <w:top w:val="single" w:sz="4" w:space="0" w:color="auto"/>
              <w:left w:val="single" w:sz="4" w:space="0" w:color="auto"/>
              <w:bottom w:val="single" w:sz="4" w:space="0" w:color="auto"/>
              <w:right w:val="single" w:sz="4" w:space="0" w:color="auto"/>
            </w:tcBorders>
          </w:tcPr>
          <w:p w14:paraId="0E3A9EE7" w14:textId="77777777" w:rsidR="004473F2" w:rsidRPr="004C6EFB" w:rsidRDefault="004473F2" w:rsidP="00B02852">
            <w:pPr>
              <w:rPr>
                <w:rFonts w:eastAsia="Times New Roman" w:cs="Calibri"/>
                <w:color w:val="000000"/>
              </w:rPr>
            </w:pPr>
            <w:r w:rsidRPr="004C6EFB">
              <w:rPr>
                <w:rFonts w:eastAsia="Times New Roman" w:cs="Calibri"/>
                <w:color w:val="000000"/>
              </w:rPr>
              <w:t>BMI</w:t>
            </w:r>
          </w:p>
        </w:tc>
        <w:tc>
          <w:tcPr>
            <w:tcW w:w="2250" w:type="dxa"/>
            <w:tcBorders>
              <w:top w:val="single" w:sz="4" w:space="0" w:color="auto"/>
              <w:left w:val="single" w:sz="4" w:space="0" w:color="auto"/>
              <w:bottom w:val="single" w:sz="4" w:space="0" w:color="auto"/>
              <w:right w:val="single" w:sz="4" w:space="0" w:color="auto"/>
            </w:tcBorders>
          </w:tcPr>
          <w:p w14:paraId="79EEC421" w14:textId="0898EAFC" w:rsidR="004473F2" w:rsidRPr="00074926" w:rsidRDefault="004473F2" w:rsidP="00B02852">
            <w:pPr>
              <w:jc w:val="right"/>
            </w:pPr>
            <w:r w:rsidRPr="00CF7097">
              <w:rPr>
                <w:i/>
              </w:rPr>
              <w:t>Mean</w:t>
            </w:r>
            <w:r>
              <w:t>=30.46 (</w:t>
            </w:r>
            <w:r>
              <w:rPr>
                <w:i/>
              </w:rPr>
              <w:t>SD</w:t>
            </w:r>
            <w:r>
              <w:t xml:space="preserve"> 6.03)</w:t>
            </w:r>
          </w:p>
        </w:tc>
        <w:tc>
          <w:tcPr>
            <w:tcW w:w="1800" w:type="dxa"/>
            <w:tcBorders>
              <w:top w:val="single" w:sz="4" w:space="0" w:color="auto"/>
              <w:left w:val="single" w:sz="4" w:space="0" w:color="auto"/>
              <w:bottom w:val="single" w:sz="4" w:space="0" w:color="auto"/>
              <w:right w:val="single" w:sz="4" w:space="0" w:color="auto"/>
            </w:tcBorders>
            <w:vAlign w:val="bottom"/>
          </w:tcPr>
          <w:p w14:paraId="57C56D96" w14:textId="4F5D8715" w:rsidR="004473F2" w:rsidRPr="00564B20" w:rsidRDefault="004473F2" w:rsidP="00B02852">
            <w:pPr>
              <w:jc w:val="center"/>
            </w:pPr>
            <w:r>
              <w:t>1.00 (0.99, 1.01)</w:t>
            </w:r>
          </w:p>
        </w:tc>
      </w:tr>
      <w:tr w:rsidR="004473F2" w:rsidRPr="00564B20" w14:paraId="32B9CC72" w14:textId="77777777" w:rsidTr="001B3C00">
        <w:tc>
          <w:tcPr>
            <w:tcW w:w="5035" w:type="dxa"/>
            <w:tcBorders>
              <w:top w:val="single" w:sz="4" w:space="0" w:color="auto"/>
              <w:left w:val="single" w:sz="4" w:space="0" w:color="auto"/>
              <w:bottom w:val="single" w:sz="4" w:space="0" w:color="auto"/>
              <w:right w:val="single" w:sz="4" w:space="0" w:color="auto"/>
            </w:tcBorders>
          </w:tcPr>
          <w:p w14:paraId="35F0AFE3" w14:textId="77777777" w:rsidR="004473F2" w:rsidRPr="004C6EFB" w:rsidRDefault="004473F2" w:rsidP="00B02852">
            <w:pPr>
              <w:rPr>
                <w:rFonts w:eastAsia="Times New Roman" w:cs="Calibri"/>
                <w:color w:val="000000"/>
              </w:rPr>
            </w:pPr>
            <w:r w:rsidRPr="004C6EFB">
              <w:rPr>
                <w:rFonts w:eastAsia="Times New Roman" w:cs="Calibri"/>
                <w:color w:val="000000"/>
              </w:rPr>
              <w:t>Narcotic Use for &gt;90 days</w:t>
            </w:r>
          </w:p>
        </w:tc>
        <w:tc>
          <w:tcPr>
            <w:tcW w:w="2250" w:type="dxa"/>
            <w:tcBorders>
              <w:top w:val="single" w:sz="4" w:space="0" w:color="auto"/>
              <w:left w:val="single" w:sz="4" w:space="0" w:color="auto"/>
              <w:bottom w:val="single" w:sz="4" w:space="0" w:color="auto"/>
              <w:right w:val="single" w:sz="4" w:space="0" w:color="auto"/>
            </w:tcBorders>
          </w:tcPr>
          <w:p w14:paraId="6D98579A" w14:textId="477805B6" w:rsidR="004473F2" w:rsidRPr="008F7F38" w:rsidRDefault="004473F2" w:rsidP="00B02852">
            <w:pPr>
              <w:jc w:val="right"/>
            </w:pPr>
            <w:r>
              <w:t>787 (17.35%)</w:t>
            </w:r>
          </w:p>
        </w:tc>
        <w:tc>
          <w:tcPr>
            <w:tcW w:w="1800" w:type="dxa"/>
            <w:tcBorders>
              <w:top w:val="single" w:sz="4" w:space="0" w:color="auto"/>
              <w:left w:val="single" w:sz="4" w:space="0" w:color="auto"/>
              <w:bottom w:val="single" w:sz="4" w:space="0" w:color="auto"/>
              <w:right w:val="single" w:sz="4" w:space="0" w:color="auto"/>
            </w:tcBorders>
          </w:tcPr>
          <w:p w14:paraId="3D0638B2" w14:textId="12769303" w:rsidR="004473F2" w:rsidRPr="00564B20" w:rsidRDefault="004473F2" w:rsidP="00B02852">
            <w:pPr>
              <w:jc w:val="center"/>
            </w:pPr>
            <w:r>
              <w:t>0.97 (0.79, 1.18)</w:t>
            </w:r>
          </w:p>
        </w:tc>
      </w:tr>
      <w:tr w:rsidR="004473F2" w:rsidRPr="00E53613" w14:paraId="273EB1FB" w14:textId="77777777" w:rsidTr="001B3C00">
        <w:tc>
          <w:tcPr>
            <w:tcW w:w="5035" w:type="dxa"/>
            <w:tcBorders>
              <w:top w:val="single" w:sz="4" w:space="0" w:color="auto"/>
              <w:left w:val="single" w:sz="4" w:space="0" w:color="auto"/>
              <w:bottom w:val="single" w:sz="4" w:space="0" w:color="auto"/>
              <w:right w:val="single" w:sz="4" w:space="0" w:color="auto"/>
            </w:tcBorders>
          </w:tcPr>
          <w:p w14:paraId="1CE50BB5" w14:textId="77777777" w:rsidR="004473F2" w:rsidRPr="004C6EFB" w:rsidRDefault="004473F2" w:rsidP="00B02852">
            <w:pPr>
              <w:rPr>
                <w:rFonts w:eastAsia="Times New Roman" w:cs="Calibri"/>
                <w:color w:val="000000"/>
              </w:rPr>
            </w:pPr>
            <w:r w:rsidRPr="004C6EFB">
              <w:rPr>
                <w:rFonts w:eastAsia="Times New Roman"/>
                <w:color w:val="000000"/>
              </w:rPr>
              <w:t>Baseline PROMIS Global Mental Health Score</w:t>
            </w:r>
          </w:p>
        </w:tc>
        <w:tc>
          <w:tcPr>
            <w:tcW w:w="2250" w:type="dxa"/>
            <w:tcBorders>
              <w:top w:val="single" w:sz="4" w:space="0" w:color="auto"/>
              <w:left w:val="single" w:sz="4" w:space="0" w:color="auto"/>
              <w:bottom w:val="single" w:sz="4" w:space="0" w:color="auto"/>
              <w:right w:val="single" w:sz="4" w:space="0" w:color="auto"/>
            </w:tcBorders>
          </w:tcPr>
          <w:p w14:paraId="19FECD83" w14:textId="6D7B6E01" w:rsidR="004473F2" w:rsidRPr="00074926" w:rsidRDefault="004473F2" w:rsidP="00B02852">
            <w:pPr>
              <w:jc w:val="right"/>
            </w:pPr>
            <w:r w:rsidRPr="00CF7097">
              <w:rPr>
                <w:i/>
              </w:rPr>
              <w:t>Mean</w:t>
            </w:r>
            <w:r>
              <w:t>=49.70 (</w:t>
            </w:r>
            <w:r>
              <w:rPr>
                <w:i/>
              </w:rPr>
              <w:t>SD</w:t>
            </w:r>
            <w:r>
              <w:t xml:space="preserve"> 8.05)</w:t>
            </w:r>
          </w:p>
        </w:tc>
        <w:tc>
          <w:tcPr>
            <w:tcW w:w="1800" w:type="dxa"/>
            <w:tcBorders>
              <w:top w:val="single" w:sz="4" w:space="0" w:color="auto"/>
              <w:left w:val="single" w:sz="4" w:space="0" w:color="auto"/>
              <w:bottom w:val="single" w:sz="4" w:space="0" w:color="auto"/>
              <w:right w:val="single" w:sz="4" w:space="0" w:color="auto"/>
            </w:tcBorders>
          </w:tcPr>
          <w:p w14:paraId="3DCE1D16" w14:textId="69F2A491" w:rsidR="004473F2" w:rsidRPr="00E53613" w:rsidRDefault="004473F2" w:rsidP="00B02852">
            <w:pPr>
              <w:jc w:val="center"/>
              <w:rPr>
                <w:b/>
              </w:rPr>
            </w:pPr>
            <w:r w:rsidRPr="00E53613">
              <w:rPr>
                <w:b/>
              </w:rPr>
              <w:t>0.98 (0.97, 0.99)</w:t>
            </w:r>
          </w:p>
        </w:tc>
      </w:tr>
      <w:tr w:rsidR="004473F2" w:rsidRPr="00564B20" w14:paraId="05553645" w14:textId="77777777" w:rsidTr="001B3C00">
        <w:tc>
          <w:tcPr>
            <w:tcW w:w="5035" w:type="dxa"/>
            <w:tcBorders>
              <w:top w:val="single" w:sz="4" w:space="0" w:color="auto"/>
              <w:left w:val="single" w:sz="4" w:space="0" w:color="auto"/>
              <w:bottom w:val="single" w:sz="4" w:space="0" w:color="auto"/>
              <w:right w:val="single" w:sz="4" w:space="0" w:color="auto"/>
            </w:tcBorders>
          </w:tcPr>
          <w:p w14:paraId="2B3EAD9F" w14:textId="77777777" w:rsidR="004473F2" w:rsidRPr="004C6EFB" w:rsidRDefault="004473F2" w:rsidP="00B02852">
            <w:pPr>
              <w:rPr>
                <w:rFonts w:eastAsia="Times New Roman" w:cs="Calibri"/>
              </w:rPr>
            </w:pPr>
            <w:r w:rsidRPr="004C6EFB">
              <w:rPr>
                <w:rFonts w:eastAsia="Times New Roman" w:cs="Calibri"/>
              </w:rPr>
              <w:t>Severe infection; other infectious diseases (CC 1, 3-7)</w:t>
            </w:r>
          </w:p>
        </w:tc>
        <w:tc>
          <w:tcPr>
            <w:tcW w:w="2250" w:type="dxa"/>
            <w:tcBorders>
              <w:top w:val="single" w:sz="4" w:space="0" w:color="auto"/>
              <w:left w:val="single" w:sz="4" w:space="0" w:color="auto"/>
              <w:bottom w:val="single" w:sz="4" w:space="0" w:color="auto"/>
              <w:right w:val="single" w:sz="4" w:space="0" w:color="auto"/>
            </w:tcBorders>
            <w:vAlign w:val="bottom"/>
          </w:tcPr>
          <w:p w14:paraId="1E977286" w14:textId="0F995DB0" w:rsidR="004473F2" w:rsidRPr="008F7F38" w:rsidRDefault="004473F2" w:rsidP="00B02852">
            <w:pPr>
              <w:jc w:val="right"/>
            </w:pPr>
            <w:r>
              <w:t>842 (18.56%)</w:t>
            </w:r>
          </w:p>
        </w:tc>
        <w:tc>
          <w:tcPr>
            <w:tcW w:w="1800" w:type="dxa"/>
            <w:tcBorders>
              <w:top w:val="single" w:sz="4" w:space="0" w:color="auto"/>
              <w:left w:val="single" w:sz="4" w:space="0" w:color="auto"/>
              <w:bottom w:val="single" w:sz="4" w:space="0" w:color="auto"/>
              <w:right w:val="single" w:sz="4" w:space="0" w:color="auto"/>
            </w:tcBorders>
            <w:vAlign w:val="bottom"/>
          </w:tcPr>
          <w:p w14:paraId="365C1317" w14:textId="452BBB32" w:rsidR="004473F2" w:rsidRPr="00564B20" w:rsidRDefault="004473F2" w:rsidP="00B02852">
            <w:pPr>
              <w:jc w:val="center"/>
            </w:pPr>
            <w:r>
              <w:t>0.94 (0.78, 1.13)</w:t>
            </w:r>
          </w:p>
        </w:tc>
      </w:tr>
      <w:tr w:rsidR="004473F2" w:rsidRPr="00564B20" w14:paraId="52FF40E5" w14:textId="77777777" w:rsidTr="001B3C00">
        <w:tc>
          <w:tcPr>
            <w:tcW w:w="5035" w:type="dxa"/>
            <w:tcBorders>
              <w:top w:val="single" w:sz="4" w:space="0" w:color="auto"/>
              <w:left w:val="single" w:sz="4" w:space="0" w:color="auto"/>
              <w:bottom w:val="single" w:sz="4" w:space="0" w:color="auto"/>
              <w:right w:val="single" w:sz="4" w:space="0" w:color="auto"/>
            </w:tcBorders>
          </w:tcPr>
          <w:p w14:paraId="120A6E77" w14:textId="77777777" w:rsidR="004473F2" w:rsidRPr="004C6EFB" w:rsidRDefault="004473F2" w:rsidP="00B02852">
            <w:pPr>
              <w:rPr>
                <w:rFonts w:eastAsia="Times New Roman" w:cs="Calibri"/>
              </w:rPr>
            </w:pPr>
            <w:r w:rsidRPr="004C6EFB">
              <w:rPr>
                <w:rFonts w:eastAsia="Times New Roman" w:cs="Calibri"/>
              </w:rPr>
              <w:t>Diabetes mellitus (DM) or DM complications (CC 17-19, 122-123)</w:t>
            </w:r>
          </w:p>
        </w:tc>
        <w:tc>
          <w:tcPr>
            <w:tcW w:w="2250" w:type="dxa"/>
            <w:tcBorders>
              <w:top w:val="single" w:sz="4" w:space="0" w:color="auto"/>
              <w:left w:val="single" w:sz="4" w:space="0" w:color="auto"/>
              <w:bottom w:val="single" w:sz="4" w:space="0" w:color="auto"/>
              <w:right w:val="single" w:sz="4" w:space="0" w:color="auto"/>
            </w:tcBorders>
            <w:vAlign w:val="bottom"/>
          </w:tcPr>
          <w:p w14:paraId="353C8BE5" w14:textId="7FF7B00C" w:rsidR="004473F2" w:rsidRPr="008F7F38" w:rsidRDefault="004473F2" w:rsidP="004C2AF9">
            <w:pPr>
              <w:jc w:val="right"/>
            </w:pPr>
            <w:r>
              <w:t>1217 (26.83%)</w:t>
            </w:r>
          </w:p>
        </w:tc>
        <w:tc>
          <w:tcPr>
            <w:tcW w:w="1800" w:type="dxa"/>
            <w:tcBorders>
              <w:top w:val="single" w:sz="4" w:space="0" w:color="auto"/>
              <w:left w:val="single" w:sz="4" w:space="0" w:color="auto"/>
              <w:bottom w:val="single" w:sz="4" w:space="0" w:color="auto"/>
              <w:right w:val="single" w:sz="4" w:space="0" w:color="auto"/>
            </w:tcBorders>
            <w:vAlign w:val="bottom"/>
          </w:tcPr>
          <w:p w14:paraId="2E5376BF" w14:textId="5C29C819" w:rsidR="004473F2" w:rsidRPr="00564B20" w:rsidRDefault="004473F2" w:rsidP="004C2AF9">
            <w:pPr>
              <w:jc w:val="center"/>
            </w:pPr>
            <w:r>
              <w:t>0.83 (0.59, 1.18)</w:t>
            </w:r>
          </w:p>
        </w:tc>
      </w:tr>
      <w:tr w:rsidR="004473F2" w:rsidRPr="00564B20" w14:paraId="38DA836F" w14:textId="77777777" w:rsidTr="001B3C00">
        <w:tc>
          <w:tcPr>
            <w:tcW w:w="5035" w:type="dxa"/>
            <w:tcBorders>
              <w:top w:val="single" w:sz="4" w:space="0" w:color="auto"/>
              <w:left w:val="single" w:sz="4" w:space="0" w:color="auto"/>
              <w:bottom w:val="single" w:sz="4" w:space="0" w:color="auto"/>
              <w:right w:val="single" w:sz="4" w:space="0" w:color="auto"/>
            </w:tcBorders>
          </w:tcPr>
          <w:p w14:paraId="0B376AA8" w14:textId="3E4D3D3D" w:rsidR="004473F2" w:rsidRPr="004C6EFB" w:rsidRDefault="004473F2" w:rsidP="00B02852">
            <w:pPr>
              <w:rPr>
                <w:rFonts w:eastAsia="Times New Roman" w:cs="Calibri"/>
              </w:rPr>
            </w:pPr>
            <w:r w:rsidRPr="004C6EFB">
              <w:rPr>
                <w:rFonts w:eastAsia="Times New Roman" w:cs="Calibri"/>
              </w:rPr>
              <w:t>Liver disease (CC 27-31)</w:t>
            </w:r>
          </w:p>
        </w:tc>
        <w:tc>
          <w:tcPr>
            <w:tcW w:w="2250" w:type="dxa"/>
            <w:tcBorders>
              <w:top w:val="single" w:sz="4" w:space="0" w:color="auto"/>
              <w:left w:val="single" w:sz="4" w:space="0" w:color="auto"/>
              <w:bottom w:val="single" w:sz="4" w:space="0" w:color="auto"/>
              <w:right w:val="single" w:sz="4" w:space="0" w:color="auto"/>
            </w:tcBorders>
            <w:vAlign w:val="bottom"/>
          </w:tcPr>
          <w:p w14:paraId="68035B8A" w14:textId="390B4C33" w:rsidR="004473F2" w:rsidRPr="008F7F38" w:rsidRDefault="004473F2" w:rsidP="00B02852">
            <w:pPr>
              <w:jc w:val="right"/>
            </w:pPr>
            <w:r>
              <w:t>1229 (27.09%)</w:t>
            </w:r>
          </w:p>
        </w:tc>
        <w:tc>
          <w:tcPr>
            <w:tcW w:w="1800" w:type="dxa"/>
            <w:tcBorders>
              <w:top w:val="single" w:sz="4" w:space="0" w:color="auto"/>
              <w:left w:val="single" w:sz="4" w:space="0" w:color="auto"/>
              <w:bottom w:val="single" w:sz="4" w:space="0" w:color="auto"/>
              <w:right w:val="single" w:sz="4" w:space="0" w:color="auto"/>
            </w:tcBorders>
            <w:vAlign w:val="bottom"/>
          </w:tcPr>
          <w:p w14:paraId="7B59A34C" w14:textId="18020285" w:rsidR="004473F2" w:rsidRPr="00564B20" w:rsidRDefault="004473F2" w:rsidP="00B02852">
            <w:pPr>
              <w:jc w:val="center"/>
            </w:pPr>
            <w:r>
              <w:t>1.22 (0.86, 1.73)</w:t>
            </w:r>
          </w:p>
        </w:tc>
      </w:tr>
      <w:tr w:rsidR="004473F2" w:rsidRPr="00564B20" w14:paraId="74306B94" w14:textId="77777777" w:rsidTr="001B3C00">
        <w:tc>
          <w:tcPr>
            <w:tcW w:w="5035" w:type="dxa"/>
            <w:tcBorders>
              <w:top w:val="single" w:sz="4" w:space="0" w:color="auto"/>
              <w:left w:val="single" w:sz="4" w:space="0" w:color="auto"/>
              <w:bottom w:val="single" w:sz="4" w:space="0" w:color="auto"/>
              <w:right w:val="single" w:sz="4" w:space="0" w:color="auto"/>
            </w:tcBorders>
          </w:tcPr>
          <w:p w14:paraId="25698449" w14:textId="77777777" w:rsidR="004473F2" w:rsidRPr="004C6EFB" w:rsidRDefault="004473F2" w:rsidP="00B02852">
            <w:pPr>
              <w:rPr>
                <w:rFonts w:eastAsia="Times New Roman" w:cs="Calibri"/>
              </w:rPr>
            </w:pPr>
            <w:r w:rsidRPr="004C6EFB">
              <w:rPr>
                <w:rFonts w:eastAsia="Times New Roman" w:cs="Calibri"/>
              </w:rPr>
              <w:t>Rheumatoid arthritis and inflammatory connective tissue disease (CC 40)</w:t>
            </w:r>
          </w:p>
        </w:tc>
        <w:tc>
          <w:tcPr>
            <w:tcW w:w="2250" w:type="dxa"/>
            <w:tcBorders>
              <w:top w:val="single" w:sz="4" w:space="0" w:color="auto"/>
              <w:left w:val="single" w:sz="4" w:space="0" w:color="auto"/>
              <w:bottom w:val="single" w:sz="4" w:space="0" w:color="auto"/>
              <w:right w:val="single" w:sz="4" w:space="0" w:color="auto"/>
            </w:tcBorders>
            <w:vAlign w:val="bottom"/>
          </w:tcPr>
          <w:p w14:paraId="5C0497FE" w14:textId="7341E467" w:rsidR="004473F2" w:rsidRPr="008F7F38" w:rsidRDefault="004473F2" w:rsidP="00B02852">
            <w:pPr>
              <w:jc w:val="right"/>
            </w:pPr>
            <w:r>
              <w:t>457 (10.07%)</w:t>
            </w:r>
          </w:p>
        </w:tc>
        <w:tc>
          <w:tcPr>
            <w:tcW w:w="1800" w:type="dxa"/>
            <w:tcBorders>
              <w:top w:val="single" w:sz="4" w:space="0" w:color="auto"/>
              <w:left w:val="single" w:sz="4" w:space="0" w:color="auto"/>
              <w:bottom w:val="single" w:sz="4" w:space="0" w:color="auto"/>
              <w:right w:val="single" w:sz="4" w:space="0" w:color="auto"/>
            </w:tcBorders>
            <w:vAlign w:val="bottom"/>
          </w:tcPr>
          <w:p w14:paraId="5BE82716" w14:textId="26FECBD8" w:rsidR="004473F2" w:rsidRPr="00564B20" w:rsidRDefault="004473F2" w:rsidP="00B02852">
            <w:pPr>
              <w:jc w:val="center"/>
            </w:pPr>
            <w:r w:rsidRPr="003221CC">
              <w:rPr>
                <w:b/>
              </w:rPr>
              <w:t>0.78 (0.62, 0.99</w:t>
            </w:r>
            <w:r>
              <w:t>)</w:t>
            </w:r>
          </w:p>
        </w:tc>
      </w:tr>
      <w:tr w:rsidR="004473F2" w:rsidRPr="00564B20" w14:paraId="6ADB8014" w14:textId="77777777" w:rsidTr="001B3C00">
        <w:tc>
          <w:tcPr>
            <w:tcW w:w="5035" w:type="dxa"/>
            <w:tcBorders>
              <w:top w:val="single" w:sz="4" w:space="0" w:color="auto"/>
              <w:left w:val="single" w:sz="4" w:space="0" w:color="auto"/>
              <w:bottom w:val="single" w:sz="4" w:space="0" w:color="auto"/>
              <w:right w:val="single" w:sz="4" w:space="0" w:color="auto"/>
            </w:tcBorders>
          </w:tcPr>
          <w:p w14:paraId="009BFEE3" w14:textId="77777777" w:rsidR="004473F2" w:rsidRPr="004C6EFB" w:rsidRDefault="004473F2" w:rsidP="00C61F65">
            <w:pPr>
              <w:rPr>
                <w:rFonts w:eastAsia="Times New Roman" w:cs="Calibri"/>
              </w:rPr>
            </w:pPr>
            <w:r w:rsidRPr="004C6EFB">
              <w:rPr>
                <w:rFonts w:eastAsia="Times New Roman" w:cs="Calibri"/>
              </w:rPr>
              <w:t>Depression (CC 61)</w:t>
            </w:r>
          </w:p>
        </w:tc>
        <w:tc>
          <w:tcPr>
            <w:tcW w:w="2250" w:type="dxa"/>
            <w:tcBorders>
              <w:top w:val="single" w:sz="4" w:space="0" w:color="auto"/>
              <w:left w:val="single" w:sz="4" w:space="0" w:color="auto"/>
              <w:bottom w:val="single" w:sz="4" w:space="0" w:color="auto"/>
              <w:right w:val="single" w:sz="4" w:space="0" w:color="auto"/>
            </w:tcBorders>
          </w:tcPr>
          <w:p w14:paraId="7B8DF027" w14:textId="77D6B0AD" w:rsidR="004473F2" w:rsidRPr="008F7F38" w:rsidRDefault="004473F2" w:rsidP="00C61F65">
            <w:pPr>
              <w:jc w:val="right"/>
            </w:pPr>
            <w:r>
              <w:t>698 (15.39%)</w:t>
            </w:r>
          </w:p>
        </w:tc>
        <w:tc>
          <w:tcPr>
            <w:tcW w:w="1800" w:type="dxa"/>
            <w:tcBorders>
              <w:top w:val="single" w:sz="4" w:space="0" w:color="auto"/>
              <w:left w:val="single" w:sz="4" w:space="0" w:color="auto"/>
              <w:bottom w:val="single" w:sz="4" w:space="0" w:color="auto"/>
              <w:right w:val="single" w:sz="4" w:space="0" w:color="auto"/>
            </w:tcBorders>
          </w:tcPr>
          <w:p w14:paraId="15FECBC2" w14:textId="32411A6B" w:rsidR="004473F2" w:rsidRPr="00564B20" w:rsidRDefault="004473F2" w:rsidP="00C61F65">
            <w:pPr>
              <w:jc w:val="center"/>
            </w:pPr>
            <w:r>
              <w:t>0.91 (0.73, 1.14)</w:t>
            </w:r>
          </w:p>
        </w:tc>
      </w:tr>
      <w:tr w:rsidR="004473F2" w:rsidRPr="00564B20" w14:paraId="76D90679" w14:textId="77777777" w:rsidTr="001B3C00">
        <w:tc>
          <w:tcPr>
            <w:tcW w:w="5035" w:type="dxa"/>
            <w:tcBorders>
              <w:top w:val="single" w:sz="4" w:space="0" w:color="auto"/>
              <w:left w:val="single" w:sz="4" w:space="0" w:color="auto"/>
              <w:bottom w:val="single" w:sz="4" w:space="0" w:color="auto"/>
              <w:right w:val="single" w:sz="4" w:space="0" w:color="auto"/>
            </w:tcBorders>
          </w:tcPr>
          <w:p w14:paraId="01CD7EB9" w14:textId="77777777" w:rsidR="004473F2" w:rsidRPr="004C6EFB" w:rsidRDefault="004473F2" w:rsidP="00C61F65">
            <w:pPr>
              <w:rPr>
                <w:rFonts w:eastAsia="Times New Roman" w:cs="Calibri"/>
              </w:rPr>
            </w:pPr>
            <w:r w:rsidRPr="004C6EFB">
              <w:rPr>
                <w:rFonts w:eastAsia="Times New Roman" w:cs="Calibri"/>
              </w:rPr>
              <w:t>Other psychiatric disorders (CC 63)</w:t>
            </w:r>
          </w:p>
        </w:tc>
        <w:tc>
          <w:tcPr>
            <w:tcW w:w="2250" w:type="dxa"/>
            <w:tcBorders>
              <w:top w:val="single" w:sz="4" w:space="0" w:color="auto"/>
              <w:left w:val="single" w:sz="4" w:space="0" w:color="auto"/>
              <w:bottom w:val="single" w:sz="4" w:space="0" w:color="auto"/>
              <w:right w:val="single" w:sz="4" w:space="0" w:color="auto"/>
            </w:tcBorders>
          </w:tcPr>
          <w:p w14:paraId="438331A2" w14:textId="0244E6A5" w:rsidR="004473F2" w:rsidRPr="008F7F38" w:rsidRDefault="004473F2" w:rsidP="00C61F65">
            <w:pPr>
              <w:jc w:val="right"/>
            </w:pPr>
            <w:r>
              <w:t>714 (15.74%)</w:t>
            </w:r>
          </w:p>
        </w:tc>
        <w:tc>
          <w:tcPr>
            <w:tcW w:w="1800" w:type="dxa"/>
            <w:tcBorders>
              <w:top w:val="single" w:sz="4" w:space="0" w:color="auto"/>
              <w:left w:val="single" w:sz="4" w:space="0" w:color="auto"/>
              <w:bottom w:val="single" w:sz="4" w:space="0" w:color="auto"/>
              <w:right w:val="single" w:sz="4" w:space="0" w:color="auto"/>
            </w:tcBorders>
          </w:tcPr>
          <w:p w14:paraId="67F9D7CF" w14:textId="069F364B" w:rsidR="004473F2" w:rsidRPr="00564B20" w:rsidRDefault="004473F2" w:rsidP="00C61F65">
            <w:pPr>
              <w:jc w:val="center"/>
            </w:pPr>
            <w:r>
              <w:t>0.96 (0.78, 1.20)</w:t>
            </w:r>
          </w:p>
        </w:tc>
      </w:tr>
      <w:tr w:rsidR="004473F2" w:rsidRPr="00564B20" w14:paraId="193C94A0" w14:textId="77777777" w:rsidTr="001B3C00">
        <w:tc>
          <w:tcPr>
            <w:tcW w:w="5035" w:type="dxa"/>
            <w:tcBorders>
              <w:top w:val="single" w:sz="4" w:space="0" w:color="auto"/>
              <w:left w:val="single" w:sz="4" w:space="0" w:color="auto"/>
              <w:bottom w:val="single" w:sz="4" w:space="0" w:color="auto"/>
              <w:right w:val="single" w:sz="4" w:space="0" w:color="auto"/>
            </w:tcBorders>
          </w:tcPr>
          <w:p w14:paraId="7EDA4DD5" w14:textId="77777777" w:rsidR="004473F2" w:rsidRPr="004C6EFB" w:rsidRDefault="004473F2" w:rsidP="00C61F65">
            <w:pPr>
              <w:rPr>
                <w:rFonts w:eastAsia="Times New Roman" w:cs="Calibri"/>
              </w:rPr>
            </w:pPr>
            <w:r w:rsidRPr="004C6EFB">
              <w:rPr>
                <w:rFonts w:eastAsia="Times New Roman" w:cs="Calibri"/>
              </w:rPr>
              <w:t>Coronary atherosclerosis or angina (CC 88-89)</w:t>
            </w:r>
          </w:p>
        </w:tc>
        <w:tc>
          <w:tcPr>
            <w:tcW w:w="2250" w:type="dxa"/>
            <w:tcBorders>
              <w:top w:val="single" w:sz="4" w:space="0" w:color="auto"/>
              <w:left w:val="single" w:sz="4" w:space="0" w:color="auto"/>
              <w:bottom w:val="single" w:sz="4" w:space="0" w:color="auto"/>
              <w:right w:val="single" w:sz="4" w:space="0" w:color="auto"/>
            </w:tcBorders>
          </w:tcPr>
          <w:p w14:paraId="17E8EA94" w14:textId="2850FCEB" w:rsidR="004473F2" w:rsidRPr="008F7F38" w:rsidRDefault="004473F2" w:rsidP="00C61F65">
            <w:pPr>
              <w:jc w:val="right"/>
            </w:pPr>
            <w:r>
              <w:t>1138 (25.09%)</w:t>
            </w:r>
          </w:p>
        </w:tc>
        <w:tc>
          <w:tcPr>
            <w:tcW w:w="1800" w:type="dxa"/>
            <w:tcBorders>
              <w:top w:val="single" w:sz="4" w:space="0" w:color="auto"/>
              <w:left w:val="single" w:sz="4" w:space="0" w:color="auto"/>
              <w:bottom w:val="single" w:sz="4" w:space="0" w:color="auto"/>
              <w:right w:val="single" w:sz="4" w:space="0" w:color="auto"/>
            </w:tcBorders>
          </w:tcPr>
          <w:p w14:paraId="76A0FDFC" w14:textId="24F2904C" w:rsidR="004473F2" w:rsidRPr="00564B20" w:rsidRDefault="004473F2" w:rsidP="00C61F65">
            <w:pPr>
              <w:jc w:val="center"/>
            </w:pPr>
            <w:r w:rsidRPr="003221CC">
              <w:rPr>
                <w:b/>
              </w:rPr>
              <w:t>0.75 (0.64, 0.89)</w:t>
            </w:r>
          </w:p>
        </w:tc>
      </w:tr>
      <w:tr w:rsidR="004473F2" w:rsidRPr="00564B20" w14:paraId="69E5923F" w14:textId="77777777" w:rsidTr="001B3C00">
        <w:tc>
          <w:tcPr>
            <w:tcW w:w="5035" w:type="dxa"/>
            <w:tcBorders>
              <w:top w:val="single" w:sz="4" w:space="0" w:color="auto"/>
              <w:left w:val="single" w:sz="4" w:space="0" w:color="auto"/>
              <w:bottom w:val="single" w:sz="4" w:space="0" w:color="auto"/>
              <w:right w:val="single" w:sz="4" w:space="0" w:color="auto"/>
            </w:tcBorders>
          </w:tcPr>
          <w:p w14:paraId="441E7D24" w14:textId="77777777" w:rsidR="004473F2" w:rsidRPr="004C6EFB" w:rsidRDefault="004473F2" w:rsidP="00C61F65">
            <w:pPr>
              <w:rPr>
                <w:rFonts w:eastAsia="Times New Roman" w:cs="Calibri"/>
              </w:rPr>
            </w:pPr>
            <w:r w:rsidRPr="004C6EFB">
              <w:rPr>
                <w:rFonts w:eastAsia="Times New Roman" w:cs="Calibri"/>
              </w:rPr>
              <w:t>Vascular or circulatory disease (CC 106-109)</w:t>
            </w:r>
          </w:p>
        </w:tc>
        <w:tc>
          <w:tcPr>
            <w:tcW w:w="2250" w:type="dxa"/>
            <w:tcBorders>
              <w:top w:val="single" w:sz="4" w:space="0" w:color="auto"/>
              <w:left w:val="single" w:sz="4" w:space="0" w:color="auto"/>
              <w:bottom w:val="single" w:sz="4" w:space="0" w:color="auto"/>
              <w:right w:val="single" w:sz="4" w:space="0" w:color="auto"/>
            </w:tcBorders>
          </w:tcPr>
          <w:p w14:paraId="60B39EB3" w14:textId="460386F5" w:rsidR="004473F2" w:rsidRPr="008F7F38" w:rsidRDefault="004473F2" w:rsidP="00C61F65">
            <w:pPr>
              <w:jc w:val="right"/>
            </w:pPr>
            <w:r>
              <w:t>862 (19.00%)</w:t>
            </w:r>
          </w:p>
        </w:tc>
        <w:tc>
          <w:tcPr>
            <w:tcW w:w="1800" w:type="dxa"/>
            <w:tcBorders>
              <w:top w:val="single" w:sz="4" w:space="0" w:color="auto"/>
              <w:left w:val="single" w:sz="4" w:space="0" w:color="auto"/>
              <w:bottom w:val="single" w:sz="4" w:space="0" w:color="auto"/>
              <w:right w:val="single" w:sz="4" w:space="0" w:color="auto"/>
            </w:tcBorders>
          </w:tcPr>
          <w:p w14:paraId="495C02D5" w14:textId="08967E2B" w:rsidR="004473F2" w:rsidRPr="00564B20" w:rsidRDefault="004473F2" w:rsidP="00C61F65">
            <w:pPr>
              <w:jc w:val="center"/>
            </w:pPr>
            <w:r>
              <w:t>0.92 (0.77, 1.12)</w:t>
            </w:r>
          </w:p>
        </w:tc>
      </w:tr>
      <w:tr w:rsidR="004473F2" w14:paraId="75C63E28" w14:textId="77777777" w:rsidTr="001B3C00">
        <w:tc>
          <w:tcPr>
            <w:tcW w:w="5035" w:type="dxa"/>
            <w:tcBorders>
              <w:top w:val="single" w:sz="4" w:space="0" w:color="auto"/>
              <w:left w:val="single" w:sz="4" w:space="0" w:color="auto"/>
              <w:bottom w:val="single" w:sz="4" w:space="0" w:color="auto"/>
              <w:right w:val="single" w:sz="4" w:space="0" w:color="auto"/>
            </w:tcBorders>
          </w:tcPr>
          <w:p w14:paraId="2728782B" w14:textId="77777777" w:rsidR="004473F2" w:rsidRDefault="004473F2" w:rsidP="00C61F65">
            <w:r w:rsidRPr="004C6EFB">
              <w:rPr>
                <w:rFonts w:eastAsia="Times New Roman" w:cs="Calibri"/>
              </w:rPr>
              <w:t>Renal failure (CC 135-140)</w:t>
            </w:r>
          </w:p>
        </w:tc>
        <w:tc>
          <w:tcPr>
            <w:tcW w:w="2250" w:type="dxa"/>
            <w:tcBorders>
              <w:top w:val="single" w:sz="4" w:space="0" w:color="auto"/>
              <w:left w:val="single" w:sz="4" w:space="0" w:color="auto"/>
              <w:bottom w:val="single" w:sz="4" w:space="0" w:color="auto"/>
              <w:right w:val="single" w:sz="4" w:space="0" w:color="auto"/>
            </w:tcBorders>
          </w:tcPr>
          <w:p w14:paraId="5696D812" w14:textId="105D4FB4" w:rsidR="004473F2" w:rsidRDefault="004473F2" w:rsidP="00C61F65">
            <w:pPr>
              <w:jc w:val="right"/>
            </w:pPr>
            <w:r>
              <w:t>621 (13.69%)</w:t>
            </w:r>
          </w:p>
        </w:tc>
        <w:tc>
          <w:tcPr>
            <w:tcW w:w="1800" w:type="dxa"/>
            <w:tcBorders>
              <w:top w:val="single" w:sz="4" w:space="0" w:color="auto"/>
              <w:left w:val="single" w:sz="4" w:space="0" w:color="auto"/>
              <w:bottom w:val="single" w:sz="4" w:space="0" w:color="auto"/>
              <w:right w:val="single" w:sz="4" w:space="0" w:color="auto"/>
            </w:tcBorders>
          </w:tcPr>
          <w:p w14:paraId="41766324" w14:textId="1072E0D6" w:rsidR="004473F2" w:rsidRDefault="004473F2" w:rsidP="00C61F65">
            <w:pPr>
              <w:jc w:val="center"/>
            </w:pPr>
            <w:r>
              <w:t>1.08 (0.87, 1.34)</w:t>
            </w:r>
          </w:p>
        </w:tc>
      </w:tr>
    </w:tbl>
    <w:p w14:paraId="54653257" w14:textId="77777777" w:rsidR="00A37F10" w:rsidRDefault="00A37F10" w:rsidP="00FD0A2A">
      <w:pPr>
        <w:spacing w:after="160"/>
        <w:rPr>
          <w:b/>
        </w:rPr>
      </w:pPr>
    </w:p>
    <w:p w14:paraId="1EED37A8" w14:textId="46E55C32" w:rsidR="00A37F10" w:rsidRPr="00D0075F" w:rsidRDefault="00A37F10" w:rsidP="00A37F10">
      <w:pPr>
        <w:spacing w:after="160"/>
      </w:pPr>
      <w:r>
        <w:rPr>
          <w:b/>
        </w:rPr>
        <w:lastRenderedPageBreak/>
        <w:t>Table 6</w:t>
      </w:r>
      <w:r w:rsidRPr="00D0075F">
        <w:rPr>
          <w:b/>
        </w:rPr>
        <w:t xml:space="preserve">. Model Performance: </w:t>
      </w:r>
      <w:r>
        <w:rPr>
          <w:b/>
        </w:rPr>
        <w:t xml:space="preserve">Combined THA/TKA, THA-specific and TKA-specific </w:t>
      </w:r>
      <w:r w:rsidRPr="00D0075F">
        <w:rPr>
          <w:b/>
        </w:rPr>
        <w:t xml:space="preserve">Risk Models for SCB Improvement </w:t>
      </w:r>
      <w:r>
        <w:rPr>
          <w:b/>
        </w:rPr>
        <w:t>(Development Dataset)</w:t>
      </w:r>
    </w:p>
    <w:tbl>
      <w:tblPr>
        <w:tblStyle w:val="TableGrid"/>
        <w:tblW w:w="9221" w:type="dxa"/>
        <w:tblLook w:val="04A0" w:firstRow="1" w:lastRow="0" w:firstColumn="1" w:lastColumn="0" w:noHBand="0" w:noVBand="1"/>
      </w:tblPr>
      <w:tblGrid>
        <w:gridCol w:w="3505"/>
        <w:gridCol w:w="1980"/>
        <w:gridCol w:w="1890"/>
        <w:gridCol w:w="1846"/>
      </w:tblGrid>
      <w:tr w:rsidR="00A37F10" w14:paraId="4308CAD7" w14:textId="77777777" w:rsidTr="00516AC2">
        <w:tc>
          <w:tcPr>
            <w:tcW w:w="3505" w:type="dxa"/>
            <w:shd w:val="clear" w:color="auto" w:fill="DEEAF6"/>
          </w:tcPr>
          <w:p w14:paraId="0D7CF13D" w14:textId="77777777" w:rsidR="00A37F10" w:rsidRPr="007B0F8D" w:rsidRDefault="00A37F10" w:rsidP="00516AC2">
            <w:pPr>
              <w:jc w:val="center"/>
              <w:rPr>
                <w:b/>
              </w:rPr>
            </w:pPr>
            <w:r w:rsidRPr="007B0F8D">
              <w:t xml:space="preserve"> </w:t>
            </w:r>
            <w:r w:rsidRPr="007B0F8D">
              <w:rPr>
                <w:b/>
              </w:rPr>
              <w:t>Model Performance Statistic</w:t>
            </w:r>
          </w:p>
        </w:tc>
        <w:tc>
          <w:tcPr>
            <w:tcW w:w="1980" w:type="dxa"/>
            <w:shd w:val="clear" w:color="auto" w:fill="DEEAF6"/>
          </w:tcPr>
          <w:p w14:paraId="0D3F7666" w14:textId="042C2712" w:rsidR="00A37F10" w:rsidRPr="007B0F8D" w:rsidRDefault="00A37F10" w:rsidP="00A37F10">
            <w:pPr>
              <w:jc w:val="center"/>
              <w:rPr>
                <w:b/>
              </w:rPr>
            </w:pPr>
            <w:r w:rsidRPr="007B0F8D">
              <w:rPr>
                <w:b/>
              </w:rPr>
              <w:t xml:space="preserve"> Combined </w:t>
            </w:r>
            <w:r>
              <w:rPr>
                <w:b/>
              </w:rPr>
              <w:t xml:space="preserve">THA/TKA </w:t>
            </w:r>
            <w:r w:rsidRPr="007B0F8D">
              <w:rPr>
                <w:b/>
              </w:rPr>
              <w:t>model</w:t>
            </w:r>
          </w:p>
        </w:tc>
        <w:tc>
          <w:tcPr>
            <w:tcW w:w="1890" w:type="dxa"/>
            <w:shd w:val="clear" w:color="auto" w:fill="DEEAF6"/>
          </w:tcPr>
          <w:p w14:paraId="56ADD43C" w14:textId="32250DC8" w:rsidR="00A37F10" w:rsidRPr="007B0F8D" w:rsidRDefault="00A37F10" w:rsidP="00A37F10">
            <w:pPr>
              <w:jc w:val="center"/>
              <w:rPr>
                <w:b/>
              </w:rPr>
            </w:pPr>
            <w:r>
              <w:rPr>
                <w:b/>
              </w:rPr>
              <w:t>THA-specific</w:t>
            </w:r>
            <w:r w:rsidRPr="007B0F8D">
              <w:rPr>
                <w:b/>
              </w:rPr>
              <w:t xml:space="preserve"> model</w:t>
            </w:r>
          </w:p>
        </w:tc>
        <w:tc>
          <w:tcPr>
            <w:tcW w:w="1846" w:type="dxa"/>
            <w:shd w:val="clear" w:color="auto" w:fill="DEEAF6"/>
          </w:tcPr>
          <w:p w14:paraId="65B3EFF1" w14:textId="6A399C7B" w:rsidR="00A37F10" w:rsidRPr="007B0F8D" w:rsidRDefault="00A37F10" w:rsidP="00516AC2">
            <w:pPr>
              <w:jc w:val="center"/>
              <w:rPr>
                <w:b/>
              </w:rPr>
            </w:pPr>
            <w:r>
              <w:rPr>
                <w:b/>
              </w:rPr>
              <w:t xml:space="preserve">TKA-specific </w:t>
            </w:r>
            <w:r w:rsidRPr="007B0F8D">
              <w:rPr>
                <w:b/>
              </w:rPr>
              <w:t>model</w:t>
            </w:r>
          </w:p>
        </w:tc>
      </w:tr>
      <w:tr w:rsidR="00A37F10" w14:paraId="078414C4" w14:textId="77777777" w:rsidTr="00516AC2">
        <w:tc>
          <w:tcPr>
            <w:tcW w:w="3505" w:type="dxa"/>
          </w:tcPr>
          <w:p w14:paraId="435A6F39" w14:textId="77777777" w:rsidR="00A37F10" w:rsidRPr="007B0F8D" w:rsidRDefault="00A37F10" w:rsidP="00516AC2">
            <w:r w:rsidRPr="007B0F8D">
              <w:t>C-statistic</w:t>
            </w:r>
          </w:p>
        </w:tc>
        <w:tc>
          <w:tcPr>
            <w:tcW w:w="1980" w:type="dxa"/>
          </w:tcPr>
          <w:p w14:paraId="7F69C4BB" w14:textId="77777777" w:rsidR="00A37F10" w:rsidRPr="007B0F8D" w:rsidRDefault="00A37F10" w:rsidP="00516AC2">
            <w:pPr>
              <w:jc w:val="center"/>
            </w:pPr>
            <w:r w:rsidRPr="007B0F8D">
              <w:t>0.68</w:t>
            </w:r>
          </w:p>
        </w:tc>
        <w:tc>
          <w:tcPr>
            <w:tcW w:w="1890" w:type="dxa"/>
            <w:shd w:val="clear" w:color="auto" w:fill="auto"/>
          </w:tcPr>
          <w:p w14:paraId="17AD30C6" w14:textId="77777777" w:rsidR="00A37F10" w:rsidRPr="007B0F8D" w:rsidRDefault="00A37F10" w:rsidP="00516AC2">
            <w:pPr>
              <w:jc w:val="center"/>
            </w:pPr>
            <w:r w:rsidRPr="007B0F8D">
              <w:t>0.68</w:t>
            </w:r>
          </w:p>
        </w:tc>
        <w:tc>
          <w:tcPr>
            <w:tcW w:w="1846" w:type="dxa"/>
            <w:shd w:val="clear" w:color="auto" w:fill="auto"/>
          </w:tcPr>
          <w:p w14:paraId="6A34D2B3" w14:textId="77777777" w:rsidR="00A37F10" w:rsidRPr="007B0F8D" w:rsidRDefault="00A37F10" w:rsidP="00516AC2">
            <w:pPr>
              <w:jc w:val="center"/>
            </w:pPr>
            <w:r w:rsidRPr="007B0F8D">
              <w:t>0.68</w:t>
            </w:r>
          </w:p>
        </w:tc>
      </w:tr>
      <w:tr w:rsidR="00A37F10" w14:paraId="3C18D033" w14:textId="77777777" w:rsidTr="00516AC2">
        <w:tc>
          <w:tcPr>
            <w:tcW w:w="3505" w:type="dxa"/>
          </w:tcPr>
          <w:p w14:paraId="711D60B7" w14:textId="77777777" w:rsidR="00A37F10" w:rsidRPr="007B0F8D" w:rsidRDefault="00A37F10" w:rsidP="00516AC2">
            <w:r w:rsidRPr="007B0F8D">
              <w:t>Predictive Ability</w:t>
            </w:r>
          </w:p>
        </w:tc>
        <w:tc>
          <w:tcPr>
            <w:tcW w:w="1980" w:type="dxa"/>
          </w:tcPr>
          <w:p w14:paraId="0F14518E" w14:textId="77777777" w:rsidR="00A37F10" w:rsidRPr="007B0F8D" w:rsidRDefault="00A37F10" w:rsidP="00516AC2">
            <w:pPr>
              <w:jc w:val="center"/>
            </w:pPr>
            <w:r w:rsidRPr="007B0F8D">
              <w:t>26% – 81%</w:t>
            </w:r>
          </w:p>
        </w:tc>
        <w:tc>
          <w:tcPr>
            <w:tcW w:w="1890" w:type="dxa"/>
            <w:shd w:val="clear" w:color="auto" w:fill="auto"/>
          </w:tcPr>
          <w:p w14:paraId="19897ED8" w14:textId="77777777" w:rsidR="00A37F10" w:rsidRPr="007B0F8D" w:rsidRDefault="00A37F10" w:rsidP="00516AC2">
            <w:pPr>
              <w:jc w:val="center"/>
            </w:pPr>
            <w:r w:rsidRPr="007B0F8D">
              <w:t xml:space="preserve">32% - 83% </w:t>
            </w:r>
          </w:p>
        </w:tc>
        <w:tc>
          <w:tcPr>
            <w:tcW w:w="1846" w:type="dxa"/>
            <w:shd w:val="clear" w:color="auto" w:fill="auto"/>
          </w:tcPr>
          <w:p w14:paraId="4AD3D82B" w14:textId="77777777" w:rsidR="00A37F10" w:rsidRPr="007B0F8D" w:rsidRDefault="00A37F10" w:rsidP="00516AC2">
            <w:pPr>
              <w:jc w:val="center"/>
            </w:pPr>
            <w:r w:rsidRPr="007B0F8D">
              <w:t>25% - 81%</w:t>
            </w:r>
          </w:p>
        </w:tc>
      </w:tr>
    </w:tbl>
    <w:p w14:paraId="18E4DC89" w14:textId="77777777" w:rsidR="00A37F10" w:rsidRDefault="00A37F10" w:rsidP="00FD0A2A">
      <w:pPr>
        <w:spacing w:after="160"/>
        <w:rPr>
          <w:b/>
        </w:rPr>
      </w:pPr>
    </w:p>
    <w:p w14:paraId="2D9BC425" w14:textId="48603611" w:rsidR="00FD0A2A" w:rsidRPr="00EA0342" w:rsidRDefault="00FD0A2A" w:rsidP="000A445D">
      <w:pPr>
        <w:spacing w:before="240" w:after="160"/>
        <w:rPr>
          <w:b/>
        </w:rPr>
      </w:pPr>
      <w:r w:rsidRPr="00EA0342">
        <w:rPr>
          <w:b/>
        </w:rPr>
        <w:t xml:space="preserve">Figure </w:t>
      </w:r>
      <w:r>
        <w:rPr>
          <w:b/>
        </w:rPr>
        <w:t>2</w:t>
      </w:r>
      <w:r w:rsidR="00E60B60">
        <w:rPr>
          <w:b/>
        </w:rPr>
        <w:t>. RSIRs</w:t>
      </w:r>
      <w:r w:rsidRPr="00EA0342">
        <w:rPr>
          <w:b/>
        </w:rPr>
        <w:t xml:space="preserve"> Calculated using the </w:t>
      </w:r>
      <w:r w:rsidR="00E37558">
        <w:rPr>
          <w:b/>
        </w:rPr>
        <w:t>THA-Specific</w:t>
      </w:r>
      <w:r w:rsidRPr="00EA0342">
        <w:rPr>
          <w:b/>
        </w:rPr>
        <w:t xml:space="preserve"> </w:t>
      </w:r>
      <w:r w:rsidR="00D909BF">
        <w:rPr>
          <w:b/>
        </w:rPr>
        <w:t xml:space="preserve">(Hip Only) </w:t>
      </w:r>
      <w:r w:rsidRPr="00EA0342">
        <w:rPr>
          <w:b/>
        </w:rPr>
        <w:t xml:space="preserve">Model vs. RISRs Calculated using the </w:t>
      </w:r>
      <w:r>
        <w:rPr>
          <w:b/>
        </w:rPr>
        <w:t xml:space="preserve">Combined </w:t>
      </w:r>
      <w:r w:rsidR="00E37558">
        <w:rPr>
          <w:b/>
        </w:rPr>
        <w:t xml:space="preserve">THA/TKA </w:t>
      </w:r>
      <w:r w:rsidRPr="00EA0342">
        <w:rPr>
          <w:b/>
        </w:rPr>
        <w:t>Model</w:t>
      </w:r>
      <w:r w:rsidR="00E37558">
        <w:rPr>
          <w:b/>
        </w:rPr>
        <w:t xml:space="preserve"> (</w:t>
      </w:r>
      <w:r w:rsidR="00E37558" w:rsidRPr="00E37558">
        <w:rPr>
          <w:b/>
        </w:rPr>
        <w:t xml:space="preserve">Development </w:t>
      </w:r>
      <w:r w:rsidR="00D909BF">
        <w:rPr>
          <w:b/>
        </w:rPr>
        <w:t>Dataset</w:t>
      </w:r>
      <w:r w:rsidR="00E37558">
        <w:rPr>
          <w:b/>
        </w:rPr>
        <w:t>)</w:t>
      </w:r>
      <w:r w:rsidRPr="00EA0342">
        <w:rPr>
          <w:b/>
        </w:rPr>
        <w:t xml:space="preserve"> </w:t>
      </w:r>
    </w:p>
    <w:p w14:paraId="4BC09037" w14:textId="77777777" w:rsidR="00FD0A2A" w:rsidRDefault="00FD0A2A" w:rsidP="00FD0A2A">
      <w:pPr>
        <w:rPr>
          <w:rFonts w:asciiTheme="majorHAnsi" w:eastAsiaTheme="majorEastAsia" w:hAnsiTheme="majorHAnsi" w:cstheme="majorBidi"/>
          <w:b/>
          <w:color w:val="365F91" w:themeColor="accent1" w:themeShade="BF"/>
        </w:rPr>
      </w:pPr>
      <w:bookmarkStart w:id="12" w:name="_Section_7:_Risk"/>
      <w:bookmarkEnd w:id="12"/>
      <w:r w:rsidRPr="00831789">
        <w:rPr>
          <w:rFonts w:asciiTheme="majorHAnsi" w:eastAsiaTheme="majorEastAsia" w:hAnsiTheme="majorHAnsi" w:cstheme="majorBidi"/>
          <w:b/>
          <w:noProof/>
          <w:color w:val="365F91" w:themeColor="accent1" w:themeShade="BF"/>
        </w:rPr>
        <w:drawing>
          <wp:inline distT="0" distB="0" distL="0" distR="0" wp14:anchorId="26A701A3" wp14:editId="6FF69178">
            <wp:extent cx="5838825" cy="4380945"/>
            <wp:effectExtent l="0" t="0" r="0" b="635"/>
            <wp:docPr id="3" name="Picture 3" descr="C:\Users\kmb24\AppData\Local\Microsoft\Windows\Temporary Internet Files\Content.Outlook\D1NINM9J\hk_vs_hip_gt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mb24\AppData\Local\Microsoft\Windows\Temporary Internet Files\Content.Outlook\D1NINM9J\hk_vs_hip_gt2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0201" cy="4419493"/>
                    </a:xfrm>
                    <a:prstGeom prst="rect">
                      <a:avLst/>
                    </a:prstGeom>
                    <a:noFill/>
                    <a:ln>
                      <a:noFill/>
                    </a:ln>
                  </pic:spPr>
                </pic:pic>
              </a:graphicData>
            </a:graphic>
          </wp:inline>
        </w:drawing>
      </w:r>
    </w:p>
    <w:p w14:paraId="7F09BC44" w14:textId="77777777" w:rsidR="00A60D6C" w:rsidRDefault="00A60D6C" w:rsidP="00FD0A2A">
      <w:pPr>
        <w:spacing w:after="160"/>
        <w:rPr>
          <w:b/>
        </w:rPr>
      </w:pPr>
    </w:p>
    <w:p w14:paraId="34A1F60C" w14:textId="150B8CFE" w:rsidR="00FD0A2A" w:rsidRPr="00164691" w:rsidRDefault="00FD0A2A" w:rsidP="00F30785">
      <w:pPr>
        <w:spacing w:before="4200" w:after="240"/>
        <w:rPr>
          <w:b/>
        </w:rPr>
      </w:pPr>
      <w:r w:rsidRPr="00164691">
        <w:rPr>
          <w:b/>
        </w:rPr>
        <w:lastRenderedPageBreak/>
        <w:t xml:space="preserve">Figure </w:t>
      </w:r>
      <w:r>
        <w:rPr>
          <w:b/>
        </w:rPr>
        <w:t>3</w:t>
      </w:r>
      <w:r w:rsidR="00E60B60">
        <w:rPr>
          <w:b/>
        </w:rPr>
        <w:t>. RSIRs</w:t>
      </w:r>
      <w:r w:rsidRPr="00164691">
        <w:rPr>
          <w:b/>
        </w:rPr>
        <w:t xml:space="preserve"> Calculated using the </w:t>
      </w:r>
      <w:r w:rsidR="00E37558">
        <w:rPr>
          <w:b/>
        </w:rPr>
        <w:t>TKA-Specific</w:t>
      </w:r>
      <w:r w:rsidR="00D909BF">
        <w:rPr>
          <w:b/>
        </w:rPr>
        <w:t xml:space="preserve"> (Knee Only)</w:t>
      </w:r>
      <w:r w:rsidRPr="00164691">
        <w:rPr>
          <w:b/>
        </w:rPr>
        <w:t xml:space="preserve"> Model vs. RISRs Calculated using the </w:t>
      </w:r>
      <w:r>
        <w:rPr>
          <w:b/>
        </w:rPr>
        <w:t xml:space="preserve">Combined </w:t>
      </w:r>
      <w:r w:rsidR="00E37558">
        <w:rPr>
          <w:b/>
        </w:rPr>
        <w:t xml:space="preserve">THA/TKA </w:t>
      </w:r>
      <w:r w:rsidRPr="00164691">
        <w:rPr>
          <w:b/>
        </w:rPr>
        <w:t xml:space="preserve">Model </w:t>
      </w:r>
      <w:r w:rsidR="00E37558">
        <w:rPr>
          <w:b/>
        </w:rPr>
        <w:t xml:space="preserve">(Development </w:t>
      </w:r>
      <w:r w:rsidR="00D909BF">
        <w:rPr>
          <w:b/>
        </w:rPr>
        <w:t>Dataset</w:t>
      </w:r>
      <w:r w:rsidR="00E37558">
        <w:rPr>
          <w:b/>
        </w:rPr>
        <w:t>)</w:t>
      </w:r>
    </w:p>
    <w:p w14:paraId="6BC02F59" w14:textId="7E2AFCDD" w:rsidR="00ED1277" w:rsidRPr="00F30785" w:rsidRDefault="00FD0A2A" w:rsidP="00ED1277">
      <w:pPr>
        <w:rPr>
          <w:rFonts w:asciiTheme="majorHAnsi" w:eastAsiaTheme="majorEastAsia" w:hAnsiTheme="majorHAnsi" w:cstheme="majorBidi"/>
          <w:b/>
          <w:color w:val="365F91" w:themeColor="accent1" w:themeShade="BF"/>
        </w:rPr>
      </w:pPr>
      <w:r w:rsidRPr="00831789">
        <w:rPr>
          <w:rFonts w:asciiTheme="majorHAnsi" w:eastAsiaTheme="majorEastAsia" w:hAnsiTheme="majorHAnsi" w:cstheme="majorBidi"/>
          <w:b/>
          <w:noProof/>
          <w:color w:val="365F91" w:themeColor="accent1" w:themeShade="BF"/>
        </w:rPr>
        <w:drawing>
          <wp:inline distT="0" distB="0" distL="0" distR="0" wp14:anchorId="59400374" wp14:editId="07D170A8">
            <wp:extent cx="5839566" cy="4381500"/>
            <wp:effectExtent l="0" t="0" r="8890" b="0"/>
            <wp:docPr id="1" name="Picture 1" descr="C:\Users\kmb24\AppData\Local\Microsoft\Windows\Temporary Internet Files\Content.Outlook\D1NINM9J\hk_vs_knee_gt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mb24\AppData\Local\Microsoft\Windows\Temporary Internet Files\Content.Outlook\D1NINM9J\hk_vs_knee_gt2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7263" cy="4469810"/>
                    </a:xfrm>
                    <a:prstGeom prst="rect">
                      <a:avLst/>
                    </a:prstGeom>
                    <a:noFill/>
                    <a:ln>
                      <a:noFill/>
                    </a:ln>
                  </pic:spPr>
                </pic:pic>
              </a:graphicData>
            </a:graphic>
          </wp:inline>
        </w:drawing>
      </w:r>
    </w:p>
    <w:p w14:paraId="0CABCFF8" w14:textId="3347FCF6" w:rsidR="00001D73" w:rsidRPr="00CE284E" w:rsidRDefault="009C7513" w:rsidP="00ED1277">
      <w:pPr>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tbl>
      <w:tblPr>
        <w:tblStyle w:val="TableGrid"/>
        <w:tblW w:w="0" w:type="auto"/>
        <w:tblLook w:val="04A0" w:firstRow="1" w:lastRow="0" w:firstColumn="1" w:lastColumn="0" w:noHBand="0" w:noVBand="1"/>
      </w:tblPr>
      <w:tblGrid>
        <w:gridCol w:w="9350"/>
      </w:tblGrid>
      <w:tr w:rsidR="00394224" w14:paraId="29D099B9" w14:textId="77777777" w:rsidTr="00062A58">
        <w:tc>
          <w:tcPr>
            <w:tcW w:w="9350" w:type="dxa"/>
          </w:tcPr>
          <w:p w14:paraId="7AC50B2E" w14:textId="61D2E5E6" w:rsidR="00B31DCD" w:rsidRPr="000C4B23" w:rsidRDefault="005A605C" w:rsidP="000C4B23">
            <w:bookmarkStart w:id="13" w:name="_Hlk519522414"/>
            <w:r w:rsidRPr="000C4B23">
              <w:t>To explore the impact of social risk factor</w:t>
            </w:r>
            <w:r w:rsidR="00282F2F" w:rsidRPr="000C4B23">
              <w:t>s</w:t>
            </w:r>
            <w:r w:rsidR="003C344B">
              <w:t xml:space="preserve"> (in addition to health literacy, already included in the risk model)</w:t>
            </w:r>
            <w:r w:rsidR="002529AB" w:rsidRPr="000C4B23">
              <w:t>, we examined the associations of</w:t>
            </w:r>
            <w:r w:rsidR="00884A2D">
              <w:t xml:space="preserve"> </w:t>
            </w:r>
            <w:r w:rsidR="002529AB" w:rsidRPr="000C4B23">
              <w:t xml:space="preserve">dual eligibility and AHRQ SES Index </w:t>
            </w:r>
            <w:r w:rsidR="00F1451C">
              <w:t>lowest</w:t>
            </w:r>
            <w:r w:rsidR="002529AB" w:rsidRPr="000C4B23">
              <w:t xml:space="preserve"> quartile </w:t>
            </w:r>
            <w:r w:rsidRPr="000C4B23">
              <w:t xml:space="preserve">(low SES) </w:t>
            </w:r>
            <w:r w:rsidR="002529AB" w:rsidRPr="000C4B23">
              <w:t xml:space="preserve">among patients undergoing primary elective THAs/TKAs with </w:t>
            </w:r>
            <w:r w:rsidR="00043018">
              <w:t xml:space="preserve">the measure </w:t>
            </w:r>
            <w:r w:rsidR="00043018" w:rsidRPr="00043018">
              <w:t xml:space="preserve">outcome </w:t>
            </w:r>
            <w:r w:rsidR="00372615">
              <w:t>(</w:t>
            </w:r>
            <w:r w:rsidR="00043018" w:rsidRPr="00043018">
              <w:t>SCB</w:t>
            </w:r>
            <w:r w:rsidR="002529AB" w:rsidRPr="00043018">
              <w:t xml:space="preserve"> </w:t>
            </w:r>
            <w:r w:rsidRPr="00043018">
              <w:t>in</w:t>
            </w:r>
            <w:r w:rsidRPr="000C4B23">
              <w:t xml:space="preserve"> PRO scores</w:t>
            </w:r>
            <w:r w:rsidR="002529AB" w:rsidRPr="000C4B23">
              <w:t xml:space="preserve"> following surgery</w:t>
            </w:r>
            <w:r w:rsidRPr="000C4B23">
              <w:t>)</w:t>
            </w:r>
            <w:r w:rsidR="007F3234" w:rsidRPr="000C4B23">
              <w:t xml:space="preserve">, using the </w:t>
            </w:r>
            <w:r w:rsidR="007F3234" w:rsidRPr="000C4B23">
              <w:rPr>
                <w:b/>
              </w:rPr>
              <w:t>Development Dataset</w:t>
            </w:r>
            <w:r w:rsidRPr="000C4B23">
              <w:t>.</w:t>
            </w:r>
            <w:r w:rsidR="00CC6C70">
              <w:t xml:space="preserve"> Due to known associations between race and poorer outcomes, we also assessed the association between non-</w:t>
            </w:r>
            <w:r w:rsidR="003C344B">
              <w:t>W</w:t>
            </w:r>
            <w:r w:rsidR="00CC6C70">
              <w:t>hite race and the outcome.</w:t>
            </w:r>
            <w:r w:rsidRPr="000C4B23">
              <w:t xml:space="preserve"> </w:t>
            </w:r>
            <w:r w:rsidR="00282F2F" w:rsidRPr="000C4B23">
              <w:t xml:space="preserve">Bivariate and multivariate analyses showed no statistically significant association between AHRQ SES Index </w:t>
            </w:r>
            <w:r w:rsidR="00F1451C">
              <w:t>lowest</w:t>
            </w:r>
            <w:r w:rsidR="00282F2F" w:rsidRPr="000C4B23">
              <w:t xml:space="preserve"> quartile and SCB improvement</w:t>
            </w:r>
            <w:r w:rsidR="00372615">
              <w:t>, nor non-White race and SCB improvement</w:t>
            </w:r>
            <w:r w:rsidR="007F3234" w:rsidRPr="000C4B23">
              <w:t>;</w:t>
            </w:r>
            <w:r w:rsidR="002061BF" w:rsidRPr="000C4B23">
              <w:t xml:space="preserve"> dual eligibility was borderline significant (p=0.058) at </w:t>
            </w:r>
            <w:r w:rsidR="00271557" w:rsidRPr="000C4B23">
              <w:t xml:space="preserve">the bivariate level (see Table </w:t>
            </w:r>
            <w:r w:rsidR="00953B46">
              <w:t>7</w:t>
            </w:r>
            <w:r w:rsidR="002061BF" w:rsidRPr="000C4B23">
              <w:t xml:space="preserve"> below), and statistically significant </w:t>
            </w:r>
            <w:r w:rsidR="00FB7964" w:rsidRPr="000C4B23">
              <w:t xml:space="preserve">when entered into the </w:t>
            </w:r>
            <w:r w:rsidR="002061BF" w:rsidRPr="000C4B23">
              <w:t>risk model</w:t>
            </w:r>
            <w:r w:rsidR="00372615">
              <w:t xml:space="preserve">, indicating that </w:t>
            </w:r>
            <w:r w:rsidR="00372615" w:rsidRPr="000C4B23">
              <w:t>patients with dual eligibility ha</w:t>
            </w:r>
            <w:r w:rsidR="00372615">
              <w:t>d</w:t>
            </w:r>
            <w:r w:rsidR="00372615" w:rsidRPr="000C4B23">
              <w:t xml:space="preserve"> higher odds of achieving SCB improvement</w:t>
            </w:r>
            <w:r w:rsidR="002061BF" w:rsidRPr="000C4B23">
              <w:t xml:space="preserve"> </w:t>
            </w:r>
            <w:r w:rsidR="00FB7964" w:rsidRPr="000C4B23">
              <w:t xml:space="preserve">(see Table </w:t>
            </w:r>
            <w:r w:rsidR="00953B46">
              <w:t>8</w:t>
            </w:r>
            <w:r w:rsidR="00FB7964" w:rsidRPr="000C4B23">
              <w:t xml:space="preserve"> below).</w:t>
            </w:r>
            <w:r w:rsidR="009B58C8" w:rsidRPr="000C4B23">
              <w:t xml:space="preserve"> </w:t>
            </w:r>
            <w:r w:rsidR="00574BE6">
              <w:t xml:space="preserve">Table </w:t>
            </w:r>
            <w:r w:rsidR="00953B46">
              <w:t>9</w:t>
            </w:r>
            <w:r w:rsidR="00B31DCD" w:rsidRPr="000C4B23">
              <w:t xml:space="preserve"> provides the mean and range of hospital-specific </w:t>
            </w:r>
            <w:r w:rsidR="00E60B60">
              <w:t>RSIRs</w:t>
            </w:r>
            <w:r w:rsidR="00B31DCD" w:rsidRPr="000C4B23">
              <w:t xml:space="preserve"> with no social risk factors included in the risk model, and with dual </w:t>
            </w:r>
            <w:r w:rsidR="00B31DCD" w:rsidRPr="000C4B23">
              <w:lastRenderedPageBreak/>
              <w:t xml:space="preserve">eligibility, and AHRQ SES Index </w:t>
            </w:r>
            <w:r w:rsidR="00F1451C">
              <w:t>lowest</w:t>
            </w:r>
            <w:r w:rsidR="00B31DCD" w:rsidRPr="000C4B23">
              <w:t xml:space="preserve"> quartile </w:t>
            </w:r>
            <w:r w:rsidR="00D03FCB" w:rsidRPr="000C4B23">
              <w:t xml:space="preserve">individually included </w:t>
            </w:r>
            <w:r w:rsidR="00B31DCD" w:rsidRPr="000C4B23">
              <w:t>in the risk model</w:t>
            </w:r>
            <w:r w:rsidR="00B12D46">
              <w:t xml:space="preserve">. </w:t>
            </w:r>
            <w:r w:rsidR="00B31DCD" w:rsidRPr="000C4B23">
              <w:t xml:space="preserve">Correlation coefficients between RSIRs calculated without social risk factors with RSIRs calculated individually for each of the social risk factors indicates </w:t>
            </w:r>
            <w:r w:rsidR="00D03FCB" w:rsidRPr="000C4B23">
              <w:t>near</w:t>
            </w:r>
            <w:r w:rsidR="00B31DCD" w:rsidRPr="000C4B23">
              <w:t xml:space="preserve"> perfect </w:t>
            </w:r>
            <w:r w:rsidR="00D03FCB" w:rsidRPr="000C4B23">
              <w:t xml:space="preserve">or perfect </w:t>
            </w:r>
            <w:r w:rsidR="00B31DCD" w:rsidRPr="000C4B23">
              <w:t>correlation</w:t>
            </w:r>
            <w:r w:rsidR="00D03FCB" w:rsidRPr="000C4B23">
              <w:t xml:space="preserve"> in our data.</w:t>
            </w:r>
            <w:r w:rsidR="003C344B">
              <w:t xml:space="preserve"> </w:t>
            </w:r>
            <w:r w:rsidR="00372615">
              <w:t>This was also true when comparing RSIRs calculated without social risk factors with RSIRs calculated including non-White race</w:t>
            </w:r>
            <w:r w:rsidR="00372615" w:rsidRPr="000C4B23">
              <w:t>.</w:t>
            </w:r>
            <w:r w:rsidR="00372615">
              <w:t xml:space="preserve"> </w:t>
            </w:r>
            <w:r w:rsidR="003C344B">
              <w:t>The lack of association and impact of these factors may be due to lower case selection in these groups for these elective primary procedures.</w:t>
            </w:r>
          </w:p>
          <w:p w14:paraId="72E58DBC" w14:textId="77777777" w:rsidR="000C4B23" w:rsidRPr="000C4B23" w:rsidRDefault="000C4B23" w:rsidP="000C4B23"/>
          <w:p w14:paraId="49B9B4A3" w14:textId="4BCE696D" w:rsidR="00CE6546" w:rsidRDefault="00CE6546" w:rsidP="000C4B23">
            <w:r>
              <w:t>Based on the results of the social risk factor testing, we did not include additional social risk factors beyond health literacy. As noted above, we do include health literacy in the final risk model, based upon strong patient and technical expert input. In our dataset, only dual eligibility was statistically significantly associated with the outcome</w:t>
            </w:r>
            <w:r w:rsidR="00372615">
              <w:t>, and while</w:t>
            </w:r>
            <w:r w:rsidR="00FB7964" w:rsidRPr="000C4B23">
              <w:t xml:space="preserve"> patients with dual eligibility ha</w:t>
            </w:r>
            <w:r w:rsidR="00E209F1">
              <w:t>d</w:t>
            </w:r>
            <w:r w:rsidR="00FB7964" w:rsidRPr="000C4B23">
              <w:t xml:space="preserve"> higher odds of achieving SCB improvement</w:t>
            </w:r>
            <w:r w:rsidR="00372615">
              <w:t>, inclusion of dual eligibility in the risk model did not appear to impact RSIRs</w:t>
            </w:r>
            <w:r w:rsidR="00746C95">
              <w:t>.</w:t>
            </w:r>
            <w:r w:rsidR="00230255">
              <w:t xml:space="preserve"> </w:t>
            </w:r>
            <w:r w:rsidR="00372615">
              <w:t xml:space="preserve">Additional </w:t>
            </w:r>
            <w:r>
              <w:t>analysis of hospital proportion of dual eligible patients by hospital RSIRs</w:t>
            </w:r>
            <w:r w:rsidR="00372615">
              <w:t xml:space="preserve"> is provided in Figure 4</w:t>
            </w:r>
            <w:r>
              <w:t>. The results indicate that hospitals with the lowest proportion of dual eligible patients and those hospitals with the highest proportion of dual eligible patients have similar RSIR distributions. These data do not provide evidence of significant differences in RSIRs due to the proportion of a hospital’s patients with dual eligibility.</w:t>
            </w:r>
          </w:p>
          <w:p w14:paraId="62DC1C79" w14:textId="77777777" w:rsidR="00CE6546" w:rsidRDefault="00CE6546" w:rsidP="000C4B23"/>
          <w:p w14:paraId="1D5FB9DF" w14:textId="2A7DA12E" w:rsidR="00A409DB" w:rsidRDefault="00282F2F" w:rsidP="000C4B23">
            <w:r w:rsidRPr="000C4B23">
              <w:t>Given this</w:t>
            </w:r>
            <w:r w:rsidR="00CE6546">
              <w:t>, we did not include additional social risk factors in the final risk model, beyond health literacy. However, we did find that social risk factors were significantly associated with response and therefore,</w:t>
            </w:r>
            <w:r w:rsidRPr="000C4B23">
              <w:t xml:space="preserve"> we includ</w:t>
            </w:r>
            <w:r w:rsidR="001B3C00" w:rsidRPr="000C4B23">
              <w:t>ed</w:t>
            </w:r>
            <w:r w:rsidRPr="000C4B23">
              <w:t xml:space="preserve"> social risk i</w:t>
            </w:r>
            <w:r w:rsidR="009B58C8" w:rsidRPr="000C4B23">
              <w:t xml:space="preserve">n our non-response adjustment </w:t>
            </w:r>
            <w:r w:rsidR="001B3C00" w:rsidRPr="000C4B23">
              <w:t xml:space="preserve">of the measure </w:t>
            </w:r>
            <w:r w:rsidR="009B58C8" w:rsidRPr="000C4B23">
              <w:t>(s</w:t>
            </w:r>
            <w:r w:rsidRPr="000C4B23">
              <w:t xml:space="preserve">ee </w:t>
            </w:r>
            <w:r w:rsidR="009B58C8" w:rsidRPr="000C4B23">
              <w:t xml:space="preserve">Section 2b6 </w:t>
            </w:r>
            <w:r w:rsidRPr="000C4B23">
              <w:t>below)</w:t>
            </w:r>
            <w:r w:rsidR="001B3C00" w:rsidRPr="000C4B23">
              <w:t xml:space="preserve">. </w:t>
            </w:r>
            <w:r w:rsidR="00CE6546">
              <w:t>As this measure assesses patients undergoing an elective procedure where known disparities exist, w</w:t>
            </w:r>
            <w:r w:rsidR="001B3C00" w:rsidRPr="000C4B23">
              <w:t xml:space="preserve">e will </w:t>
            </w:r>
            <w:r w:rsidRPr="000C4B23">
              <w:t>continu</w:t>
            </w:r>
            <w:r w:rsidR="001B3C00" w:rsidRPr="000C4B23">
              <w:t>e</w:t>
            </w:r>
            <w:r w:rsidRPr="000C4B23">
              <w:t xml:space="preserve"> to assess the impact of social risk for this measure</w:t>
            </w:r>
            <w:r w:rsidR="00CE6546">
              <w:t xml:space="preserve"> over time</w:t>
            </w:r>
            <w:r w:rsidRPr="000C4B23">
              <w:t>.</w:t>
            </w:r>
            <w:r>
              <w:t xml:space="preserve"> </w:t>
            </w:r>
          </w:p>
          <w:p w14:paraId="10947170" w14:textId="6B4E80AD" w:rsidR="00A409DB" w:rsidRDefault="00A409DB" w:rsidP="000C4B23">
            <w:pPr>
              <w:rPr>
                <w:rFonts w:cstheme="minorHAnsi"/>
                <w:bCs/>
              </w:rPr>
            </w:pPr>
          </w:p>
        </w:tc>
      </w:tr>
      <w:bookmarkEnd w:id="13"/>
    </w:tbl>
    <w:p w14:paraId="0CABCFF9" w14:textId="77777777" w:rsidR="00C1695E" w:rsidRDefault="00C1695E" w:rsidP="00001D73">
      <w:pPr>
        <w:autoSpaceDE w:val="0"/>
        <w:autoSpaceDN w:val="0"/>
        <w:adjustRightInd w:val="0"/>
        <w:spacing w:after="0" w:line="240" w:lineRule="auto"/>
        <w:rPr>
          <w:rFonts w:cstheme="minorHAnsi"/>
          <w:b/>
          <w:bCs/>
        </w:rPr>
      </w:pPr>
    </w:p>
    <w:p w14:paraId="5779157C" w14:textId="07277BA9" w:rsidR="002061BF" w:rsidRPr="00704360" w:rsidRDefault="00271557" w:rsidP="00574BE6">
      <w:pPr>
        <w:pStyle w:val="Caption"/>
        <w:spacing w:line="240" w:lineRule="auto"/>
        <w:jc w:val="left"/>
        <w:rPr>
          <w:szCs w:val="22"/>
        </w:rPr>
      </w:pPr>
      <w:r>
        <w:rPr>
          <w:szCs w:val="22"/>
        </w:rPr>
        <w:t xml:space="preserve">Table </w:t>
      </w:r>
      <w:r w:rsidR="00953B46">
        <w:rPr>
          <w:szCs w:val="22"/>
        </w:rPr>
        <w:t>7</w:t>
      </w:r>
      <w:r w:rsidR="002061BF" w:rsidRPr="00704360">
        <w:rPr>
          <w:szCs w:val="22"/>
        </w:rPr>
        <w:t xml:space="preserve">. </w:t>
      </w:r>
      <w:r w:rsidR="002061BF">
        <w:rPr>
          <w:szCs w:val="22"/>
        </w:rPr>
        <w:t xml:space="preserve">Bivariate Associations </w:t>
      </w:r>
      <w:r w:rsidR="00516AC2">
        <w:rPr>
          <w:szCs w:val="22"/>
        </w:rPr>
        <w:t>of</w:t>
      </w:r>
      <w:r w:rsidR="002061BF">
        <w:rPr>
          <w:szCs w:val="22"/>
        </w:rPr>
        <w:t xml:space="preserve"> Social Risk Factors and </w:t>
      </w:r>
      <w:r w:rsidR="00516AC2">
        <w:rPr>
          <w:szCs w:val="22"/>
        </w:rPr>
        <w:t xml:space="preserve">Race with </w:t>
      </w:r>
      <w:r w:rsidR="002061BF">
        <w:rPr>
          <w:szCs w:val="22"/>
        </w:rPr>
        <w:t>SCB Improvement: Development Dataset (Patient N = 6,734, Hospital N = 230</w:t>
      </w:r>
      <w:r w:rsidR="002061BF" w:rsidRPr="00704360">
        <w:rPr>
          <w:szCs w:val="22"/>
        </w:rPr>
        <w:t>)</w:t>
      </w:r>
    </w:p>
    <w:tbl>
      <w:tblPr>
        <w:tblStyle w:val="TableGrid"/>
        <w:tblW w:w="9350" w:type="dxa"/>
        <w:tblLook w:val="04A0" w:firstRow="1" w:lastRow="0" w:firstColumn="1" w:lastColumn="0" w:noHBand="0" w:noVBand="1"/>
      </w:tblPr>
      <w:tblGrid>
        <w:gridCol w:w="3235"/>
        <w:gridCol w:w="1469"/>
        <w:gridCol w:w="1834"/>
        <w:gridCol w:w="1834"/>
        <w:gridCol w:w="978"/>
      </w:tblGrid>
      <w:tr w:rsidR="00955E1D" w14:paraId="2821F243" w14:textId="77777777" w:rsidTr="00645F96">
        <w:tc>
          <w:tcPr>
            <w:tcW w:w="3235" w:type="dxa"/>
            <w:shd w:val="clear" w:color="auto" w:fill="B8CCE4" w:themeFill="accent1" w:themeFillTint="66"/>
          </w:tcPr>
          <w:p w14:paraId="5B3A2131" w14:textId="77777777" w:rsidR="00955E1D" w:rsidRDefault="00955E1D" w:rsidP="00955E1D">
            <w:pPr>
              <w:jc w:val="both"/>
            </w:pPr>
            <w:r w:rsidRPr="009E76A3">
              <w:rPr>
                <w:b/>
              </w:rPr>
              <w:t>Variable</w:t>
            </w:r>
          </w:p>
        </w:tc>
        <w:tc>
          <w:tcPr>
            <w:tcW w:w="1469" w:type="dxa"/>
            <w:shd w:val="clear" w:color="auto" w:fill="B8CCE4" w:themeFill="accent1" w:themeFillTint="66"/>
          </w:tcPr>
          <w:p w14:paraId="60184B43" w14:textId="3595BEC9" w:rsidR="00955E1D" w:rsidRPr="00FC5CB5" w:rsidRDefault="00955E1D" w:rsidP="00955E1D">
            <w:pPr>
              <w:jc w:val="center"/>
              <w:rPr>
                <w:b/>
              </w:rPr>
            </w:pPr>
            <w:r>
              <w:rPr>
                <w:b/>
              </w:rPr>
              <w:t>Frequency (%) of Total</w:t>
            </w:r>
          </w:p>
        </w:tc>
        <w:tc>
          <w:tcPr>
            <w:tcW w:w="1834" w:type="dxa"/>
            <w:shd w:val="clear" w:color="auto" w:fill="B8CCE4" w:themeFill="accent1" w:themeFillTint="66"/>
          </w:tcPr>
          <w:p w14:paraId="1F0C29DA" w14:textId="5D32BB0E" w:rsidR="00955E1D" w:rsidRPr="00955E1D" w:rsidRDefault="00955E1D" w:rsidP="00955E1D">
            <w:pPr>
              <w:jc w:val="center"/>
            </w:pPr>
            <w:r>
              <w:rPr>
                <w:b/>
              </w:rPr>
              <w:t>Frequency (%) of Patients Achieving SCB Improvement</w:t>
            </w:r>
          </w:p>
        </w:tc>
        <w:tc>
          <w:tcPr>
            <w:tcW w:w="1834" w:type="dxa"/>
            <w:shd w:val="clear" w:color="auto" w:fill="B8CCE4" w:themeFill="accent1" w:themeFillTint="66"/>
          </w:tcPr>
          <w:p w14:paraId="3A235776" w14:textId="57D25D7A" w:rsidR="00955E1D" w:rsidRPr="00955E1D" w:rsidRDefault="00955E1D" w:rsidP="00955E1D">
            <w:pPr>
              <w:jc w:val="center"/>
            </w:pPr>
            <w:r>
              <w:rPr>
                <w:b/>
              </w:rPr>
              <w:t>Frequency (%) of Patients Not Achieving SCB Improvement</w:t>
            </w:r>
          </w:p>
        </w:tc>
        <w:tc>
          <w:tcPr>
            <w:tcW w:w="978" w:type="dxa"/>
            <w:shd w:val="clear" w:color="auto" w:fill="B8CCE4" w:themeFill="accent1" w:themeFillTint="66"/>
          </w:tcPr>
          <w:p w14:paraId="30AE41E0" w14:textId="70BC52A8" w:rsidR="00955E1D" w:rsidRPr="002061BF" w:rsidRDefault="00955E1D" w:rsidP="00955E1D">
            <w:pPr>
              <w:jc w:val="center"/>
            </w:pPr>
            <w:r>
              <w:rPr>
                <w:b/>
              </w:rPr>
              <w:t>P-value</w:t>
            </w:r>
          </w:p>
        </w:tc>
      </w:tr>
      <w:tr w:rsidR="00C61F65" w14:paraId="6FA83785" w14:textId="77777777" w:rsidTr="006234FE">
        <w:tc>
          <w:tcPr>
            <w:tcW w:w="3235" w:type="dxa"/>
            <w:shd w:val="clear" w:color="auto" w:fill="auto"/>
          </w:tcPr>
          <w:p w14:paraId="7892DE58" w14:textId="382D32F4" w:rsidR="00C61F65" w:rsidRPr="004D2CE5" w:rsidRDefault="00C61F65" w:rsidP="00C61F65">
            <w:pPr>
              <w:jc w:val="both"/>
              <w:rPr>
                <w:b/>
              </w:rPr>
            </w:pPr>
            <w:r w:rsidRPr="004D2CE5">
              <w:rPr>
                <w:b/>
              </w:rPr>
              <w:t>Dual Eligibility</w:t>
            </w:r>
          </w:p>
        </w:tc>
        <w:tc>
          <w:tcPr>
            <w:tcW w:w="1469" w:type="dxa"/>
            <w:shd w:val="clear" w:color="auto" w:fill="auto"/>
            <w:vAlign w:val="bottom"/>
          </w:tcPr>
          <w:p w14:paraId="3568BFB2" w14:textId="2368BF35" w:rsidR="00C61F65" w:rsidRPr="004D2CE5" w:rsidRDefault="00C61F65" w:rsidP="00C61F65">
            <w:pPr>
              <w:jc w:val="center"/>
              <w:rPr>
                <w:b/>
              </w:rPr>
            </w:pPr>
            <w:r>
              <w:rPr>
                <w:rFonts w:ascii="Calibri" w:hAnsi="Calibri" w:cs="Calibri"/>
                <w:color w:val="000000"/>
              </w:rPr>
              <w:t>206 (3.06%)</w:t>
            </w:r>
          </w:p>
        </w:tc>
        <w:tc>
          <w:tcPr>
            <w:tcW w:w="1834" w:type="dxa"/>
            <w:shd w:val="clear" w:color="auto" w:fill="auto"/>
            <w:vAlign w:val="bottom"/>
          </w:tcPr>
          <w:p w14:paraId="0E8ECE88" w14:textId="047C0D0E" w:rsidR="00C61F65" w:rsidRPr="004D2CE5" w:rsidRDefault="00C61F65" w:rsidP="00C61F65">
            <w:pPr>
              <w:jc w:val="center"/>
              <w:rPr>
                <w:b/>
              </w:rPr>
            </w:pPr>
            <w:r>
              <w:rPr>
                <w:rFonts w:ascii="Calibri" w:hAnsi="Calibri" w:cs="Calibri"/>
                <w:color w:val="000000"/>
              </w:rPr>
              <w:t>146 (3.35%)</w:t>
            </w:r>
          </w:p>
        </w:tc>
        <w:tc>
          <w:tcPr>
            <w:tcW w:w="1834" w:type="dxa"/>
            <w:shd w:val="clear" w:color="auto" w:fill="auto"/>
            <w:vAlign w:val="bottom"/>
          </w:tcPr>
          <w:p w14:paraId="0A627FB9" w14:textId="260D796D" w:rsidR="00C61F65" w:rsidRPr="004D2CE5" w:rsidRDefault="00C61F65" w:rsidP="00C61F65">
            <w:pPr>
              <w:jc w:val="center"/>
              <w:rPr>
                <w:b/>
              </w:rPr>
            </w:pPr>
            <w:r>
              <w:rPr>
                <w:rFonts w:ascii="Calibri" w:hAnsi="Calibri" w:cs="Calibri"/>
                <w:color w:val="000000"/>
              </w:rPr>
              <w:t>60 (2.52%)</w:t>
            </w:r>
          </w:p>
        </w:tc>
        <w:tc>
          <w:tcPr>
            <w:tcW w:w="978" w:type="dxa"/>
            <w:shd w:val="clear" w:color="auto" w:fill="auto"/>
            <w:vAlign w:val="bottom"/>
          </w:tcPr>
          <w:p w14:paraId="1795FA18" w14:textId="6DF80BEF" w:rsidR="00C61F65" w:rsidRPr="004D2CE5" w:rsidRDefault="00C61F65" w:rsidP="00C61F65">
            <w:pPr>
              <w:jc w:val="center"/>
              <w:rPr>
                <w:b/>
              </w:rPr>
            </w:pPr>
            <w:r>
              <w:rPr>
                <w:rFonts w:ascii="Calibri" w:hAnsi="Calibri" w:cs="Calibri"/>
                <w:color w:val="000000"/>
              </w:rPr>
              <w:t>0.0580</w:t>
            </w:r>
          </w:p>
        </w:tc>
      </w:tr>
      <w:tr w:rsidR="00C61F65" w14:paraId="7956CF4B" w14:textId="77777777" w:rsidTr="00516AC2">
        <w:tc>
          <w:tcPr>
            <w:tcW w:w="3235" w:type="dxa"/>
            <w:shd w:val="clear" w:color="auto" w:fill="auto"/>
          </w:tcPr>
          <w:p w14:paraId="012CF7C0" w14:textId="01607E04" w:rsidR="00C61F65" w:rsidRPr="004D2CE5" w:rsidRDefault="00C61F65" w:rsidP="006234FE">
            <w:pPr>
              <w:rPr>
                <w:b/>
              </w:rPr>
            </w:pPr>
            <w:r w:rsidRPr="004D2CE5">
              <w:rPr>
                <w:b/>
              </w:rPr>
              <w:t xml:space="preserve">AHRQ SES Index: </w:t>
            </w:r>
            <w:r w:rsidR="00F1451C">
              <w:rPr>
                <w:b/>
              </w:rPr>
              <w:t>Lowest</w:t>
            </w:r>
            <w:r w:rsidRPr="004D2CE5">
              <w:rPr>
                <w:b/>
              </w:rPr>
              <w:t xml:space="preserve"> Quartile</w:t>
            </w:r>
          </w:p>
        </w:tc>
        <w:tc>
          <w:tcPr>
            <w:tcW w:w="1469" w:type="dxa"/>
            <w:shd w:val="clear" w:color="auto" w:fill="auto"/>
            <w:vAlign w:val="bottom"/>
          </w:tcPr>
          <w:p w14:paraId="35292F35" w14:textId="5FEEB8A6" w:rsidR="00C61F65" w:rsidRPr="004D2CE5" w:rsidRDefault="00C61F65" w:rsidP="00C61F65">
            <w:pPr>
              <w:jc w:val="center"/>
              <w:rPr>
                <w:b/>
              </w:rPr>
            </w:pPr>
            <w:r>
              <w:rPr>
                <w:rFonts w:ascii="Calibri" w:hAnsi="Calibri" w:cs="Calibri"/>
                <w:color w:val="000000"/>
              </w:rPr>
              <w:t>688 (10.22%)</w:t>
            </w:r>
          </w:p>
        </w:tc>
        <w:tc>
          <w:tcPr>
            <w:tcW w:w="1834" w:type="dxa"/>
            <w:shd w:val="clear" w:color="auto" w:fill="auto"/>
            <w:vAlign w:val="bottom"/>
          </w:tcPr>
          <w:p w14:paraId="0804CF69" w14:textId="642E96A3" w:rsidR="00C61F65" w:rsidRPr="004D2CE5" w:rsidRDefault="00C61F65" w:rsidP="00C61F65">
            <w:pPr>
              <w:jc w:val="center"/>
              <w:rPr>
                <w:b/>
              </w:rPr>
            </w:pPr>
            <w:r>
              <w:rPr>
                <w:rFonts w:ascii="Calibri" w:hAnsi="Calibri" w:cs="Calibri"/>
                <w:color w:val="000000"/>
              </w:rPr>
              <w:t>446 (10.24%)</w:t>
            </w:r>
          </w:p>
        </w:tc>
        <w:tc>
          <w:tcPr>
            <w:tcW w:w="1834" w:type="dxa"/>
            <w:shd w:val="clear" w:color="auto" w:fill="auto"/>
            <w:vAlign w:val="bottom"/>
          </w:tcPr>
          <w:p w14:paraId="1B1925AD" w14:textId="6A55DF5A" w:rsidR="00C61F65" w:rsidRPr="004D2CE5" w:rsidRDefault="00C61F65" w:rsidP="00C61F65">
            <w:pPr>
              <w:jc w:val="center"/>
              <w:rPr>
                <w:b/>
              </w:rPr>
            </w:pPr>
            <w:r>
              <w:rPr>
                <w:rFonts w:ascii="Calibri" w:hAnsi="Calibri" w:cs="Calibri"/>
                <w:color w:val="000000"/>
              </w:rPr>
              <w:t>242 (10.17%)</w:t>
            </w:r>
          </w:p>
        </w:tc>
        <w:tc>
          <w:tcPr>
            <w:tcW w:w="978" w:type="dxa"/>
            <w:shd w:val="clear" w:color="auto" w:fill="auto"/>
            <w:vAlign w:val="bottom"/>
          </w:tcPr>
          <w:p w14:paraId="3B95B53E" w14:textId="7B666E5C" w:rsidR="00C61F65" w:rsidRPr="004D2CE5" w:rsidRDefault="00C61F65" w:rsidP="00C61F65">
            <w:pPr>
              <w:jc w:val="center"/>
              <w:rPr>
                <w:b/>
              </w:rPr>
            </w:pPr>
            <w:r>
              <w:rPr>
                <w:rFonts w:ascii="Calibri" w:hAnsi="Calibri" w:cs="Calibri"/>
                <w:color w:val="000000"/>
              </w:rPr>
              <w:t>0.9222</w:t>
            </w:r>
          </w:p>
        </w:tc>
      </w:tr>
      <w:tr w:rsidR="00516AC2" w14:paraId="78963A78" w14:textId="77777777" w:rsidTr="006234FE">
        <w:tc>
          <w:tcPr>
            <w:tcW w:w="3235" w:type="dxa"/>
            <w:tcBorders>
              <w:bottom w:val="single" w:sz="4" w:space="0" w:color="auto"/>
            </w:tcBorders>
            <w:shd w:val="clear" w:color="auto" w:fill="auto"/>
          </w:tcPr>
          <w:p w14:paraId="608F8323" w14:textId="693F5755" w:rsidR="00516AC2" w:rsidRPr="004D2CE5" w:rsidRDefault="00516AC2" w:rsidP="00516AC2">
            <w:pPr>
              <w:rPr>
                <w:b/>
              </w:rPr>
            </w:pPr>
            <w:r w:rsidRPr="004D2CE5">
              <w:rPr>
                <w:b/>
              </w:rPr>
              <w:t>Race: Non-White</w:t>
            </w:r>
          </w:p>
        </w:tc>
        <w:tc>
          <w:tcPr>
            <w:tcW w:w="1469" w:type="dxa"/>
            <w:tcBorders>
              <w:bottom w:val="single" w:sz="4" w:space="0" w:color="auto"/>
            </w:tcBorders>
            <w:shd w:val="clear" w:color="auto" w:fill="auto"/>
            <w:vAlign w:val="bottom"/>
          </w:tcPr>
          <w:p w14:paraId="7CA6BE29" w14:textId="3E0653A9" w:rsidR="00516AC2" w:rsidRDefault="00516AC2" w:rsidP="00516AC2">
            <w:pPr>
              <w:jc w:val="center"/>
              <w:rPr>
                <w:rFonts w:ascii="Calibri" w:hAnsi="Calibri" w:cs="Calibri"/>
                <w:color w:val="000000"/>
              </w:rPr>
            </w:pPr>
            <w:r>
              <w:rPr>
                <w:rFonts w:ascii="Calibri" w:hAnsi="Calibri" w:cs="Calibri"/>
                <w:color w:val="000000"/>
              </w:rPr>
              <w:t>548 (8.14%)</w:t>
            </w:r>
          </w:p>
        </w:tc>
        <w:tc>
          <w:tcPr>
            <w:tcW w:w="1834" w:type="dxa"/>
            <w:tcBorders>
              <w:bottom w:val="single" w:sz="4" w:space="0" w:color="auto"/>
            </w:tcBorders>
            <w:shd w:val="clear" w:color="auto" w:fill="auto"/>
            <w:vAlign w:val="bottom"/>
          </w:tcPr>
          <w:p w14:paraId="23DA330B" w14:textId="13C456EF" w:rsidR="00516AC2" w:rsidRDefault="00516AC2" w:rsidP="00516AC2">
            <w:pPr>
              <w:jc w:val="center"/>
              <w:rPr>
                <w:rFonts w:ascii="Calibri" w:hAnsi="Calibri" w:cs="Calibri"/>
                <w:color w:val="000000"/>
              </w:rPr>
            </w:pPr>
            <w:r>
              <w:rPr>
                <w:rFonts w:ascii="Calibri" w:hAnsi="Calibri" w:cs="Calibri"/>
                <w:color w:val="000000"/>
              </w:rPr>
              <w:t>351 (8.06%)</w:t>
            </w:r>
          </w:p>
        </w:tc>
        <w:tc>
          <w:tcPr>
            <w:tcW w:w="1834" w:type="dxa"/>
            <w:tcBorders>
              <w:bottom w:val="single" w:sz="4" w:space="0" w:color="auto"/>
            </w:tcBorders>
            <w:shd w:val="clear" w:color="auto" w:fill="auto"/>
            <w:vAlign w:val="bottom"/>
          </w:tcPr>
          <w:p w14:paraId="04E4E220" w14:textId="6E47CECF" w:rsidR="00516AC2" w:rsidRDefault="00516AC2" w:rsidP="00516AC2">
            <w:pPr>
              <w:jc w:val="center"/>
              <w:rPr>
                <w:rFonts w:ascii="Calibri" w:hAnsi="Calibri" w:cs="Calibri"/>
                <w:color w:val="000000"/>
              </w:rPr>
            </w:pPr>
            <w:r>
              <w:rPr>
                <w:rFonts w:ascii="Calibri" w:hAnsi="Calibri" w:cs="Calibri"/>
                <w:color w:val="000000"/>
              </w:rPr>
              <w:t>197 (8.28%)</w:t>
            </w:r>
          </w:p>
        </w:tc>
        <w:tc>
          <w:tcPr>
            <w:tcW w:w="978" w:type="dxa"/>
            <w:tcBorders>
              <w:bottom w:val="single" w:sz="4" w:space="0" w:color="auto"/>
            </w:tcBorders>
            <w:shd w:val="clear" w:color="auto" w:fill="auto"/>
            <w:vAlign w:val="bottom"/>
          </w:tcPr>
          <w:p w14:paraId="5BC390C8" w14:textId="53D5E00C" w:rsidR="00516AC2" w:rsidRDefault="00516AC2" w:rsidP="00516AC2">
            <w:pPr>
              <w:jc w:val="center"/>
              <w:rPr>
                <w:rFonts w:ascii="Calibri" w:hAnsi="Calibri" w:cs="Calibri"/>
                <w:color w:val="000000"/>
              </w:rPr>
            </w:pPr>
            <w:r>
              <w:rPr>
                <w:rFonts w:ascii="Calibri" w:hAnsi="Calibri" w:cs="Calibri"/>
                <w:color w:val="000000"/>
              </w:rPr>
              <w:t>0.7569</w:t>
            </w:r>
          </w:p>
        </w:tc>
      </w:tr>
    </w:tbl>
    <w:p w14:paraId="58A3A886" w14:textId="32791D31" w:rsidR="002061BF" w:rsidRDefault="002061BF" w:rsidP="00001D73">
      <w:pPr>
        <w:autoSpaceDE w:val="0"/>
        <w:autoSpaceDN w:val="0"/>
        <w:adjustRightInd w:val="0"/>
        <w:spacing w:after="0" w:line="240" w:lineRule="auto"/>
        <w:rPr>
          <w:rFonts w:cstheme="minorHAnsi"/>
          <w:b/>
          <w:bCs/>
        </w:rPr>
      </w:pPr>
    </w:p>
    <w:p w14:paraId="32B1BD2D" w14:textId="10BFA7C9" w:rsidR="00955E1D" w:rsidRPr="00704360" w:rsidRDefault="00271557" w:rsidP="00574BE6">
      <w:pPr>
        <w:pStyle w:val="Caption"/>
        <w:spacing w:line="240" w:lineRule="auto"/>
        <w:jc w:val="left"/>
        <w:rPr>
          <w:szCs w:val="22"/>
        </w:rPr>
      </w:pPr>
      <w:r>
        <w:rPr>
          <w:szCs w:val="22"/>
        </w:rPr>
        <w:t xml:space="preserve">Table </w:t>
      </w:r>
      <w:r w:rsidR="00953B46">
        <w:rPr>
          <w:szCs w:val="22"/>
        </w:rPr>
        <w:t>8</w:t>
      </w:r>
      <w:r w:rsidR="00955E1D" w:rsidRPr="00955E1D">
        <w:rPr>
          <w:szCs w:val="22"/>
        </w:rPr>
        <w:t>. Adjusted Odds Ratios (ORs) for Social Risk Factors</w:t>
      </w:r>
      <w:r w:rsidR="00516AC2">
        <w:rPr>
          <w:szCs w:val="22"/>
        </w:rPr>
        <w:t xml:space="preserve"> and Race</w:t>
      </w:r>
      <w:r w:rsidR="00955E1D" w:rsidRPr="00955E1D">
        <w:rPr>
          <w:szCs w:val="22"/>
        </w:rPr>
        <w:t xml:space="preserve"> Individually Evaluated in the Risk Model for SCB Improvement</w:t>
      </w:r>
      <w:r w:rsidR="00955E1D">
        <w:rPr>
          <w:szCs w:val="22"/>
        </w:rPr>
        <w:t>:</w:t>
      </w:r>
      <w:r w:rsidR="00955E1D" w:rsidRPr="00955E1D">
        <w:rPr>
          <w:szCs w:val="22"/>
        </w:rPr>
        <w:t xml:space="preserve"> </w:t>
      </w:r>
      <w:r w:rsidR="00955E1D">
        <w:rPr>
          <w:szCs w:val="22"/>
        </w:rPr>
        <w:t>Development Dataset (Patient N = 6,734, Hospital N = 230</w:t>
      </w:r>
      <w:r w:rsidR="00955E1D" w:rsidRPr="00704360">
        <w:rPr>
          <w:szCs w:val="22"/>
        </w:rPr>
        <w:t>)</w:t>
      </w:r>
    </w:p>
    <w:tbl>
      <w:tblPr>
        <w:tblStyle w:val="TableGrid"/>
        <w:tblW w:w="9355" w:type="dxa"/>
        <w:tblLayout w:type="fixed"/>
        <w:tblLook w:val="04A0" w:firstRow="1" w:lastRow="0" w:firstColumn="1" w:lastColumn="0" w:noHBand="0" w:noVBand="1"/>
      </w:tblPr>
      <w:tblGrid>
        <w:gridCol w:w="3145"/>
        <w:gridCol w:w="1440"/>
        <w:gridCol w:w="1260"/>
        <w:gridCol w:w="1710"/>
        <w:gridCol w:w="1800"/>
      </w:tblGrid>
      <w:tr w:rsidR="00955E1D" w:rsidRPr="009E76A3" w14:paraId="1C882B00" w14:textId="77777777" w:rsidTr="00645F96">
        <w:trPr>
          <w:tblHeader/>
        </w:trPr>
        <w:tc>
          <w:tcPr>
            <w:tcW w:w="3145" w:type="dxa"/>
            <w:shd w:val="clear" w:color="auto" w:fill="B8CCE4" w:themeFill="accent1" w:themeFillTint="66"/>
          </w:tcPr>
          <w:p w14:paraId="5084F43D" w14:textId="77777777" w:rsidR="00955E1D" w:rsidRPr="009E76A3" w:rsidRDefault="00955E1D" w:rsidP="007C3821">
            <w:pPr>
              <w:spacing w:after="160" w:line="259" w:lineRule="auto"/>
              <w:rPr>
                <w:b/>
              </w:rPr>
            </w:pPr>
            <w:r w:rsidRPr="009E76A3">
              <w:rPr>
                <w:b/>
              </w:rPr>
              <w:t>Variable</w:t>
            </w:r>
          </w:p>
        </w:tc>
        <w:tc>
          <w:tcPr>
            <w:tcW w:w="1440" w:type="dxa"/>
            <w:shd w:val="clear" w:color="auto" w:fill="B8CCE4" w:themeFill="accent1" w:themeFillTint="66"/>
          </w:tcPr>
          <w:p w14:paraId="179A9FD4" w14:textId="77777777" w:rsidR="00955E1D" w:rsidRPr="009E76A3" w:rsidRDefault="00955E1D" w:rsidP="007C3821">
            <w:pPr>
              <w:jc w:val="center"/>
              <w:rPr>
                <w:b/>
              </w:rPr>
            </w:pPr>
            <w:r>
              <w:rPr>
                <w:b/>
              </w:rPr>
              <w:t>Frequency (%)</w:t>
            </w:r>
          </w:p>
        </w:tc>
        <w:tc>
          <w:tcPr>
            <w:tcW w:w="1260" w:type="dxa"/>
            <w:tcBorders>
              <w:bottom w:val="single" w:sz="4" w:space="0" w:color="auto"/>
            </w:tcBorders>
            <w:shd w:val="clear" w:color="auto" w:fill="B8CCE4" w:themeFill="accent1" w:themeFillTint="66"/>
          </w:tcPr>
          <w:p w14:paraId="21F24F6D" w14:textId="77777777" w:rsidR="00955E1D" w:rsidRPr="009E76A3" w:rsidRDefault="00955E1D" w:rsidP="007C3821">
            <w:pPr>
              <w:spacing w:after="160" w:line="259" w:lineRule="auto"/>
              <w:jc w:val="center"/>
              <w:rPr>
                <w:b/>
              </w:rPr>
            </w:pPr>
            <w:r w:rsidRPr="009E76A3">
              <w:rPr>
                <w:b/>
              </w:rPr>
              <w:t>Estimate</w:t>
            </w:r>
            <w:r>
              <w:rPr>
                <w:b/>
              </w:rPr>
              <w:t xml:space="preserve"> (SE)</w:t>
            </w:r>
          </w:p>
        </w:tc>
        <w:tc>
          <w:tcPr>
            <w:tcW w:w="1710" w:type="dxa"/>
            <w:tcBorders>
              <w:bottom w:val="single" w:sz="4" w:space="0" w:color="auto"/>
            </w:tcBorders>
            <w:shd w:val="clear" w:color="auto" w:fill="B8CCE4" w:themeFill="accent1" w:themeFillTint="66"/>
          </w:tcPr>
          <w:p w14:paraId="67DDC00B" w14:textId="77777777" w:rsidR="00955E1D" w:rsidRPr="009E76A3" w:rsidRDefault="00955E1D" w:rsidP="007C3821">
            <w:pPr>
              <w:spacing w:after="160" w:line="259" w:lineRule="auto"/>
              <w:jc w:val="center"/>
              <w:rPr>
                <w:b/>
              </w:rPr>
            </w:pPr>
            <w:r w:rsidRPr="009E76A3">
              <w:rPr>
                <w:b/>
              </w:rPr>
              <w:t>OR</w:t>
            </w:r>
            <w:r>
              <w:rPr>
                <w:b/>
              </w:rPr>
              <w:t xml:space="preserve"> (95% CI)</w:t>
            </w:r>
          </w:p>
        </w:tc>
        <w:tc>
          <w:tcPr>
            <w:tcW w:w="1800" w:type="dxa"/>
            <w:tcBorders>
              <w:bottom w:val="single" w:sz="4" w:space="0" w:color="auto"/>
            </w:tcBorders>
            <w:shd w:val="clear" w:color="auto" w:fill="B8CCE4" w:themeFill="accent1" w:themeFillTint="66"/>
          </w:tcPr>
          <w:p w14:paraId="411D4FB8" w14:textId="77777777" w:rsidR="00955E1D" w:rsidRPr="009E76A3" w:rsidRDefault="00955E1D" w:rsidP="007C3821">
            <w:pPr>
              <w:spacing w:after="160" w:line="259" w:lineRule="auto"/>
              <w:jc w:val="center"/>
              <w:rPr>
                <w:b/>
              </w:rPr>
            </w:pPr>
            <w:r>
              <w:rPr>
                <w:b/>
              </w:rPr>
              <w:t>C Statistic for Model Including Social Risk Factor</w:t>
            </w:r>
          </w:p>
        </w:tc>
      </w:tr>
      <w:tr w:rsidR="00C61F65" w:rsidRPr="0025565B" w14:paraId="2D91B86C" w14:textId="77777777" w:rsidTr="006234FE">
        <w:trPr>
          <w:trHeight w:val="270"/>
        </w:trPr>
        <w:tc>
          <w:tcPr>
            <w:tcW w:w="3145" w:type="dxa"/>
          </w:tcPr>
          <w:p w14:paraId="59589370" w14:textId="77777777" w:rsidR="00C61F65" w:rsidRPr="00516AC2" w:rsidRDefault="00C61F65" w:rsidP="00C61F65">
            <w:pPr>
              <w:rPr>
                <w:b/>
              </w:rPr>
            </w:pPr>
            <w:r w:rsidRPr="00516AC2">
              <w:rPr>
                <w:b/>
              </w:rPr>
              <w:t>Dual Eligibility</w:t>
            </w:r>
          </w:p>
        </w:tc>
        <w:tc>
          <w:tcPr>
            <w:tcW w:w="1440" w:type="dxa"/>
            <w:vAlign w:val="bottom"/>
          </w:tcPr>
          <w:p w14:paraId="361D0E19" w14:textId="2065FC84" w:rsidR="00C61F65" w:rsidRPr="0025565B" w:rsidRDefault="00E209F1" w:rsidP="00C61F65">
            <w:pPr>
              <w:jc w:val="right"/>
            </w:pPr>
            <w:r>
              <w:rPr>
                <w:rFonts w:ascii="Calibri" w:hAnsi="Calibri" w:cs="Calibri"/>
                <w:color w:val="000000"/>
              </w:rPr>
              <w:t xml:space="preserve">206 </w:t>
            </w:r>
            <w:r w:rsidR="00C61F65">
              <w:rPr>
                <w:rFonts w:ascii="Calibri" w:hAnsi="Calibri" w:cs="Calibri"/>
                <w:color w:val="000000"/>
              </w:rPr>
              <w:t>(3.06%)</w:t>
            </w:r>
          </w:p>
        </w:tc>
        <w:tc>
          <w:tcPr>
            <w:tcW w:w="1260" w:type="dxa"/>
            <w:tcBorders>
              <w:top w:val="single" w:sz="4" w:space="0" w:color="auto"/>
              <w:left w:val="nil"/>
              <w:bottom w:val="single" w:sz="4" w:space="0" w:color="auto"/>
              <w:right w:val="single" w:sz="4" w:space="0" w:color="auto"/>
            </w:tcBorders>
            <w:shd w:val="clear" w:color="auto" w:fill="auto"/>
            <w:vAlign w:val="bottom"/>
          </w:tcPr>
          <w:p w14:paraId="13B2A9D4" w14:textId="68D9F52E" w:rsidR="00C61F65" w:rsidRPr="0025565B" w:rsidRDefault="00C61F65" w:rsidP="00C61F65">
            <w:pPr>
              <w:jc w:val="right"/>
            </w:pPr>
            <w:r>
              <w:rPr>
                <w:rFonts w:ascii="Calibri" w:hAnsi="Calibri" w:cs="Calibri"/>
                <w:color w:val="000000"/>
              </w:rPr>
              <w:t>0.40 (0.17)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tcPr>
          <w:p w14:paraId="4829EE33" w14:textId="0C9FDE59" w:rsidR="00C61F65" w:rsidRPr="0025565B" w:rsidRDefault="00C61F65" w:rsidP="00C61F65">
            <w:pPr>
              <w:jc w:val="center"/>
            </w:pPr>
            <w:r>
              <w:rPr>
                <w:rFonts w:ascii="Calibri" w:hAnsi="Calibri" w:cs="Calibri"/>
                <w:color w:val="000000"/>
              </w:rPr>
              <w:t>1.49 (1.07, 2.08)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BA3FF9C" w14:textId="7D036CBA" w:rsidR="00C61F65" w:rsidRPr="00C03230" w:rsidRDefault="00C61F65" w:rsidP="00C61F65">
            <w:pPr>
              <w:jc w:val="center"/>
              <w:rPr>
                <w:rFonts w:cstheme="minorHAnsi"/>
              </w:rPr>
            </w:pPr>
            <w:r>
              <w:rPr>
                <w:rFonts w:cstheme="minorHAnsi"/>
                <w:szCs w:val="20"/>
              </w:rPr>
              <w:t>0.68</w:t>
            </w:r>
            <w:r w:rsidR="00507DE5">
              <w:rPr>
                <w:rFonts w:cstheme="minorHAnsi"/>
                <w:szCs w:val="20"/>
              </w:rPr>
              <w:t>*</w:t>
            </w:r>
          </w:p>
        </w:tc>
      </w:tr>
      <w:tr w:rsidR="00C61F65" w:rsidRPr="0025565B" w14:paraId="1EFB8DA9" w14:textId="77777777" w:rsidTr="006234FE">
        <w:trPr>
          <w:trHeight w:val="270"/>
        </w:trPr>
        <w:tc>
          <w:tcPr>
            <w:tcW w:w="3145" w:type="dxa"/>
          </w:tcPr>
          <w:p w14:paraId="4A5CDC47" w14:textId="6DCF12A0" w:rsidR="00C61F65" w:rsidRPr="00516AC2" w:rsidRDefault="00C61F65" w:rsidP="00C61F65">
            <w:pPr>
              <w:rPr>
                <w:b/>
              </w:rPr>
            </w:pPr>
            <w:r w:rsidRPr="00516AC2">
              <w:rPr>
                <w:b/>
              </w:rPr>
              <w:t xml:space="preserve">AHRQ SES Index: </w:t>
            </w:r>
            <w:r w:rsidR="00F1451C" w:rsidRPr="00516AC2">
              <w:rPr>
                <w:b/>
              </w:rPr>
              <w:t>Lowest</w:t>
            </w:r>
            <w:r w:rsidRPr="00516AC2">
              <w:rPr>
                <w:b/>
              </w:rPr>
              <w:t xml:space="preserve"> Quartile</w:t>
            </w:r>
          </w:p>
        </w:tc>
        <w:tc>
          <w:tcPr>
            <w:tcW w:w="1440" w:type="dxa"/>
            <w:vAlign w:val="bottom"/>
          </w:tcPr>
          <w:p w14:paraId="677B6FD9" w14:textId="65EC0CA4" w:rsidR="00C61F65" w:rsidRPr="0025565B" w:rsidRDefault="00C61F65" w:rsidP="00C61F65">
            <w:pPr>
              <w:jc w:val="right"/>
            </w:pPr>
            <w:r>
              <w:rPr>
                <w:rFonts w:ascii="Calibri" w:hAnsi="Calibri" w:cs="Calibri"/>
                <w:color w:val="000000"/>
              </w:rPr>
              <w:t>688 (10.22%)</w:t>
            </w:r>
          </w:p>
        </w:tc>
        <w:tc>
          <w:tcPr>
            <w:tcW w:w="1260" w:type="dxa"/>
            <w:tcBorders>
              <w:top w:val="single" w:sz="4" w:space="0" w:color="auto"/>
              <w:left w:val="nil"/>
              <w:bottom w:val="single" w:sz="4" w:space="0" w:color="auto"/>
              <w:right w:val="single" w:sz="4" w:space="0" w:color="auto"/>
            </w:tcBorders>
            <w:shd w:val="clear" w:color="auto" w:fill="auto"/>
            <w:vAlign w:val="bottom"/>
          </w:tcPr>
          <w:p w14:paraId="057ED2CB" w14:textId="2BADE4B1" w:rsidR="00C61F65" w:rsidRPr="0025565B" w:rsidRDefault="00C61F65" w:rsidP="00C61F65">
            <w:pPr>
              <w:jc w:val="right"/>
            </w:pPr>
            <w:r>
              <w:rPr>
                <w:rFonts w:ascii="Calibri" w:hAnsi="Calibri" w:cs="Calibri"/>
                <w:color w:val="000000"/>
              </w:rPr>
              <w:t>0.04 (0.09)</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tcPr>
          <w:p w14:paraId="6D696BFE" w14:textId="492B3078" w:rsidR="00C61F65" w:rsidRPr="0025565B" w:rsidRDefault="00C61F65" w:rsidP="00C61F65">
            <w:pPr>
              <w:jc w:val="center"/>
            </w:pPr>
            <w:r>
              <w:rPr>
                <w:rFonts w:ascii="Calibri" w:hAnsi="Calibri" w:cs="Calibri"/>
                <w:color w:val="000000"/>
              </w:rPr>
              <w:t>1.04 (0.87, 1.25)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060DC99" w14:textId="076F05F9" w:rsidR="00C61F65" w:rsidRPr="00C03230" w:rsidRDefault="00C61F65" w:rsidP="00C61F65">
            <w:pPr>
              <w:jc w:val="center"/>
              <w:rPr>
                <w:rFonts w:cstheme="minorHAnsi"/>
              </w:rPr>
            </w:pPr>
            <w:r>
              <w:rPr>
                <w:rFonts w:cstheme="minorHAnsi"/>
                <w:szCs w:val="20"/>
              </w:rPr>
              <w:t>0.68</w:t>
            </w:r>
            <w:r w:rsidR="00507DE5">
              <w:rPr>
                <w:rFonts w:cstheme="minorHAnsi"/>
                <w:szCs w:val="20"/>
              </w:rPr>
              <w:t>*</w:t>
            </w:r>
          </w:p>
        </w:tc>
      </w:tr>
      <w:tr w:rsidR="00516AC2" w:rsidRPr="0025565B" w14:paraId="199836EF" w14:textId="77777777" w:rsidTr="006234FE">
        <w:trPr>
          <w:trHeight w:val="270"/>
        </w:trPr>
        <w:tc>
          <w:tcPr>
            <w:tcW w:w="3145" w:type="dxa"/>
          </w:tcPr>
          <w:p w14:paraId="71320A53" w14:textId="39485D42" w:rsidR="00516AC2" w:rsidRPr="00516AC2" w:rsidRDefault="00516AC2" w:rsidP="00516AC2">
            <w:pPr>
              <w:rPr>
                <w:b/>
              </w:rPr>
            </w:pPr>
            <w:r w:rsidRPr="00516AC2">
              <w:rPr>
                <w:b/>
              </w:rPr>
              <w:t>Race: Non-White</w:t>
            </w:r>
          </w:p>
        </w:tc>
        <w:tc>
          <w:tcPr>
            <w:tcW w:w="1440" w:type="dxa"/>
            <w:vAlign w:val="bottom"/>
          </w:tcPr>
          <w:p w14:paraId="27C309BD" w14:textId="10195572" w:rsidR="00516AC2" w:rsidRDefault="00E209F1" w:rsidP="00516AC2">
            <w:pPr>
              <w:jc w:val="right"/>
              <w:rPr>
                <w:rFonts w:ascii="Calibri" w:hAnsi="Calibri" w:cs="Calibri"/>
                <w:color w:val="000000"/>
              </w:rPr>
            </w:pPr>
            <w:r>
              <w:rPr>
                <w:rFonts w:ascii="Calibri" w:hAnsi="Calibri" w:cs="Calibri"/>
                <w:color w:val="000000"/>
              </w:rPr>
              <w:t xml:space="preserve">548 </w:t>
            </w:r>
            <w:r w:rsidR="00516AC2">
              <w:rPr>
                <w:rFonts w:ascii="Calibri" w:hAnsi="Calibri" w:cs="Calibri"/>
                <w:color w:val="000000"/>
              </w:rPr>
              <w:t>(8.14%)</w:t>
            </w:r>
          </w:p>
        </w:tc>
        <w:tc>
          <w:tcPr>
            <w:tcW w:w="1260" w:type="dxa"/>
            <w:tcBorders>
              <w:top w:val="single" w:sz="4" w:space="0" w:color="auto"/>
              <w:left w:val="nil"/>
              <w:bottom w:val="single" w:sz="4" w:space="0" w:color="auto"/>
              <w:right w:val="single" w:sz="4" w:space="0" w:color="auto"/>
            </w:tcBorders>
            <w:shd w:val="clear" w:color="auto" w:fill="auto"/>
            <w:vAlign w:val="bottom"/>
          </w:tcPr>
          <w:p w14:paraId="00596D9B" w14:textId="19842DCB" w:rsidR="00516AC2" w:rsidRDefault="00516AC2" w:rsidP="00516AC2">
            <w:pPr>
              <w:jc w:val="right"/>
              <w:rPr>
                <w:rFonts w:ascii="Calibri" w:hAnsi="Calibri" w:cs="Calibri"/>
                <w:color w:val="000000"/>
              </w:rPr>
            </w:pPr>
            <w:r>
              <w:rPr>
                <w:rFonts w:ascii="Calibri" w:hAnsi="Calibri" w:cs="Calibri"/>
                <w:color w:val="000000"/>
              </w:rPr>
              <w:t>-0.08 (0.10)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bottom"/>
          </w:tcPr>
          <w:p w14:paraId="01CE93E7" w14:textId="7EDD87CE" w:rsidR="00516AC2" w:rsidRDefault="00516AC2" w:rsidP="00516AC2">
            <w:pPr>
              <w:jc w:val="center"/>
              <w:rPr>
                <w:rFonts w:ascii="Calibri" w:hAnsi="Calibri" w:cs="Calibri"/>
                <w:color w:val="000000"/>
              </w:rPr>
            </w:pPr>
            <w:r>
              <w:rPr>
                <w:rFonts w:ascii="Calibri" w:hAnsi="Calibri" w:cs="Calibri"/>
                <w:color w:val="000000"/>
              </w:rPr>
              <w:t>0.93 (0.76, 1.13)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6D0CA80F" w14:textId="13AFD97B" w:rsidR="00516AC2" w:rsidRDefault="00516AC2" w:rsidP="00516AC2">
            <w:pPr>
              <w:jc w:val="center"/>
              <w:rPr>
                <w:rFonts w:cstheme="minorHAnsi"/>
                <w:szCs w:val="20"/>
              </w:rPr>
            </w:pPr>
            <w:r>
              <w:rPr>
                <w:rFonts w:cstheme="minorHAnsi"/>
                <w:szCs w:val="20"/>
              </w:rPr>
              <w:t>0.68*</w:t>
            </w:r>
          </w:p>
        </w:tc>
      </w:tr>
    </w:tbl>
    <w:p w14:paraId="41B46056" w14:textId="42A90FB9" w:rsidR="00507DE5" w:rsidRDefault="00507DE5" w:rsidP="00507DE5">
      <w:r>
        <w:rPr>
          <w:i/>
        </w:rPr>
        <w:lastRenderedPageBreak/>
        <w:t>* C-</w:t>
      </w:r>
      <w:r w:rsidRPr="00D21647">
        <w:rPr>
          <w:i/>
        </w:rPr>
        <w:t xml:space="preserve">statistic for the risk model for </w:t>
      </w:r>
      <w:r w:rsidR="00043018">
        <w:rPr>
          <w:i/>
        </w:rPr>
        <w:t>SCB</w:t>
      </w:r>
      <w:r w:rsidRPr="00D21647">
        <w:rPr>
          <w:i/>
        </w:rPr>
        <w:t xml:space="preserve"> improvement </w:t>
      </w:r>
      <w:r>
        <w:rPr>
          <w:i/>
        </w:rPr>
        <w:t xml:space="preserve">in the Development Dataset </w:t>
      </w:r>
      <w:r w:rsidRPr="00D21647">
        <w:rPr>
          <w:i/>
        </w:rPr>
        <w:t>without any of the three social risk factors =</w:t>
      </w:r>
      <w:r>
        <w:rPr>
          <w:i/>
        </w:rPr>
        <w:t xml:space="preserve"> 0.68</w:t>
      </w:r>
    </w:p>
    <w:p w14:paraId="3470A4C4" w14:textId="6EB0A194" w:rsidR="007D2C45" w:rsidRPr="00994A1F" w:rsidRDefault="007D2C45" w:rsidP="00574BE6">
      <w:pPr>
        <w:pStyle w:val="Caption"/>
        <w:keepNext/>
        <w:spacing w:line="240" w:lineRule="auto"/>
        <w:jc w:val="left"/>
      </w:pPr>
      <w:r w:rsidRPr="00994A1F">
        <w:t xml:space="preserve">Table </w:t>
      </w:r>
      <w:r w:rsidR="00953B46">
        <w:t>9</w:t>
      </w:r>
      <w:r w:rsidRPr="00994A1F">
        <w:t xml:space="preserve">. Mean and Distribution of </w:t>
      </w:r>
      <w:r w:rsidR="00B846AB">
        <w:t>RSIRs</w:t>
      </w:r>
      <w:r>
        <w:t xml:space="preserve"> Calculated with</w:t>
      </w:r>
      <w:r w:rsidR="00C61F65">
        <w:t>out and with</w:t>
      </w:r>
      <w:r>
        <w:t xml:space="preserve"> Social Risk Factors</w:t>
      </w:r>
      <w:r w:rsidRPr="00994A1F">
        <w:t xml:space="preserve"> </w:t>
      </w:r>
      <w:r w:rsidR="00516AC2">
        <w:t xml:space="preserve">and Race </w:t>
      </w:r>
      <w:r w:rsidR="00B31DCD">
        <w:t xml:space="preserve">in the Risk Model </w:t>
      </w:r>
      <w:r>
        <w:t>(</w:t>
      </w:r>
      <w:r w:rsidR="008D69CF">
        <w:t xml:space="preserve">Development Dataset: </w:t>
      </w:r>
      <w:r>
        <w:t xml:space="preserve">Hospitals with </w:t>
      </w:r>
      <w:r w:rsidRPr="003A62BE">
        <w:rPr>
          <w:u w:val="single"/>
        </w:rPr>
        <w:t>&gt;</w:t>
      </w:r>
      <w:r>
        <w:t>25 THA/TKA</w:t>
      </w:r>
      <w:r w:rsidR="00ED1277">
        <w:t xml:space="preserve"> Patients with PRO Data</w:t>
      </w:r>
      <w:r>
        <w:t>)</w:t>
      </w:r>
    </w:p>
    <w:tbl>
      <w:tblPr>
        <w:tblStyle w:val="TableGrid"/>
        <w:tblW w:w="9355" w:type="dxa"/>
        <w:tblLook w:val="04A0" w:firstRow="1" w:lastRow="0" w:firstColumn="1" w:lastColumn="0" w:noHBand="0" w:noVBand="1"/>
      </w:tblPr>
      <w:tblGrid>
        <w:gridCol w:w="1645"/>
        <w:gridCol w:w="1770"/>
        <w:gridCol w:w="1890"/>
        <w:gridCol w:w="2070"/>
        <w:gridCol w:w="1980"/>
      </w:tblGrid>
      <w:tr w:rsidR="00516AC2" w:rsidRPr="00F04E0B" w14:paraId="6A07E39C" w14:textId="653DA6F9" w:rsidTr="002C158F">
        <w:tc>
          <w:tcPr>
            <w:tcW w:w="1645" w:type="dxa"/>
            <w:shd w:val="clear" w:color="auto" w:fill="B8CCE4" w:themeFill="accent1" w:themeFillTint="66"/>
          </w:tcPr>
          <w:p w14:paraId="606DC09A" w14:textId="19304498" w:rsidR="00516AC2" w:rsidRPr="00F04E0B" w:rsidRDefault="00E71C5C" w:rsidP="00516AC2">
            <w:pPr>
              <w:rPr>
                <w:b/>
              </w:rPr>
            </w:pPr>
            <w:r>
              <w:rPr>
                <w:b/>
              </w:rPr>
              <w:t>Summary Statistics</w:t>
            </w:r>
          </w:p>
        </w:tc>
        <w:tc>
          <w:tcPr>
            <w:tcW w:w="1770" w:type="dxa"/>
            <w:shd w:val="clear" w:color="auto" w:fill="B8CCE4" w:themeFill="accent1" w:themeFillTint="66"/>
          </w:tcPr>
          <w:p w14:paraId="6D82C622" w14:textId="77777777" w:rsidR="00516AC2" w:rsidRDefault="00516AC2" w:rsidP="00516AC2">
            <w:pPr>
              <w:jc w:val="center"/>
              <w:rPr>
                <w:b/>
              </w:rPr>
            </w:pPr>
            <w:r>
              <w:rPr>
                <w:b/>
              </w:rPr>
              <w:t>No Risk Factors Included</w:t>
            </w:r>
          </w:p>
        </w:tc>
        <w:tc>
          <w:tcPr>
            <w:tcW w:w="1890" w:type="dxa"/>
            <w:shd w:val="clear" w:color="auto" w:fill="B8CCE4" w:themeFill="accent1" w:themeFillTint="66"/>
          </w:tcPr>
          <w:p w14:paraId="6117D33B" w14:textId="77777777" w:rsidR="00516AC2" w:rsidRPr="00F04E0B" w:rsidRDefault="00516AC2" w:rsidP="00516AC2">
            <w:pPr>
              <w:jc w:val="center"/>
              <w:rPr>
                <w:b/>
              </w:rPr>
            </w:pPr>
            <w:r>
              <w:rPr>
                <w:b/>
              </w:rPr>
              <w:t>Dual Eligibility</w:t>
            </w:r>
          </w:p>
        </w:tc>
        <w:tc>
          <w:tcPr>
            <w:tcW w:w="2070" w:type="dxa"/>
            <w:shd w:val="clear" w:color="auto" w:fill="B8CCE4" w:themeFill="accent1" w:themeFillTint="66"/>
          </w:tcPr>
          <w:p w14:paraId="6A0F5A4B" w14:textId="3C0A86A7" w:rsidR="00516AC2" w:rsidRPr="00F04E0B" w:rsidRDefault="00516AC2" w:rsidP="00516AC2">
            <w:pPr>
              <w:jc w:val="center"/>
              <w:rPr>
                <w:b/>
              </w:rPr>
            </w:pPr>
            <w:r>
              <w:rPr>
                <w:b/>
              </w:rPr>
              <w:t>AHRQ SES Index: Lowest Quartile</w:t>
            </w:r>
          </w:p>
        </w:tc>
        <w:tc>
          <w:tcPr>
            <w:tcW w:w="1980" w:type="dxa"/>
            <w:shd w:val="clear" w:color="auto" w:fill="B8CCE4" w:themeFill="accent1" w:themeFillTint="66"/>
          </w:tcPr>
          <w:p w14:paraId="093B8E7A" w14:textId="277D0BC8" w:rsidR="00516AC2" w:rsidRDefault="00516AC2" w:rsidP="00516AC2">
            <w:pPr>
              <w:jc w:val="center"/>
              <w:rPr>
                <w:b/>
              </w:rPr>
            </w:pPr>
            <w:r>
              <w:rPr>
                <w:b/>
              </w:rPr>
              <w:t>Race: Non-White</w:t>
            </w:r>
          </w:p>
        </w:tc>
      </w:tr>
      <w:tr w:rsidR="00516AC2" w:rsidRPr="00F04E0B" w14:paraId="0D174213" w14:textId="4CD5A700" w:rsidTr="002C158F">
        <w:tc>
          <w:tcPr>
            <w:tcW w:w="1645" w:type="dxa"/>
          </w:tcPr>
          <w:p w14:paraId="4BB3B4E2" w14:textId="77777777" w:rsidR="00516AC2" w:rsidRPr="00F04E0B" w:rsidRDefault="00516AC2" w:rsidP="00516AC2">
            <w:pPr>
              <w:rPr>
                <w:b/>
              </w:rPr>
            </w:pPr>
            <w:r w:rsidRPr="00F04E0B">
              <w:rPr>
                <w:b/>
              </w:rPr>
              <w:t>N (Hospitals)</w:t>
            </w:r>
          </w:p>
        </w:tc>
        <w:tc>
          <w:tcPr>
            <w:tcW w:w="1770" w:type="dxa"/>
          </w:tcPr>
          <w:p w14:paraId="482F1A71" w14:textId="4890885D" w:rsidR="00516AC2" w:rsidRPr="00F04E0B" w:rsidRDefault="00516AC2" w:rsidP="00516AC2">
            <w:pPr>
              <w:jc w:val="center"/>
              <w:rPr>
                <w:rFonts w:cstheme="minorHAnsi"/>
              </w:rPr>
            </w:pPr>
            <w:r>
              <w:rPr>
                <w:rFonts w:cstheme="minorHAnsi"/>
              </w:rPr>
              <w:t>94</w:t>
            </w:r>
          </w:p>
        </w:tc>
        <w:tc>
          <w:tcPr>
            <w:tcW w:w="1890" w:type="dxa"/>
            <w:shd w:val="clear" w:color="auto" w:fill="auto"/>
          </w:tcPr>
          <w:p w14:paraId="3AC12449" w14:textId="12E660D1" w:rsidR="00516AC2" w:rsidRPr="00F04E0B" w:rsidRDefault="00516AC2" w:rsidP="00516AC2">
            <w:pPr>
              <w:jc w:val="center"/>
              <w:rPr>
                <w:rFonts w:cstheme="minorHAnsi"/>
              </w:rPr>
            </w:pPr>
            <w:r>
              <w:rPr>
                <w:rFonts w:cstheme="minorHAnsi"/>
              </w:rPr>
              <w:t>94</w:t>
            </w:r>
          </w:p>
        </w:tc>
        <w:tc>
          <w:tcPr>
            <w:tcW w:w="2070" w:type="dxa"/>
          </w:tcPr>
          <w:p w14:paraId="1E99CB41" w14:textId="2B1CFE48" w:rsidR="00516AC2" w:rsidRPr="00F04E0B" w:rsidRDefault="00516AC2" w:rsidP="00516AC2">
            <w:pPr>
              <w:jc w:val="center"/>
              <w:rPr>
                <w:rFonts w:cstheme="minorHAnsi"/>
              </w:rPr>
            </w:pPr>
            <w:r>
              <w:rPr>
                <w:rFonts w:cstheme="minorHAnsi"/>
              </w:rPr>
              <w:t>94</w:t>
            </w:r>
          </w:p>
        </w:tc>
        <w:tc>
          <w:tcPr>
            <w:tcW w:w="1980" w:type="dxa"/>
            <w:vAlign w:val="bottom"/>
          </w:tcPr>
          <w:p w14:paraId="3B748C2F" w14:textId="0339B4BA" w:rsidR="00516AC2" w:rsidRDefault="00516AC2" w:rsidP="00516AC2">
            <w:pPr>
              <w:jc w:val="center"/>
              <w:rPr>
                <w:rFonts w:cstheme="minorHAnsi"/>
              </w:rPr>
            </w:pPr>
            <w:r>
              <w:rPr>
                <w:rFonts w:cstheme="minorHAnsi"/>
              </w:rPr>
              <w:t>94</w:t>
            </w:r>
          </w:p>
        </w:tc>
      </w:tr>
      <w:tr w:rsidR="00516AC2" w:rsidRPr="00F04E0B" w14:paraId="7D908F8F" w14:textId="0132B11C" w:rsidTr="002C158F">
        <w:tc>
          <w:tcPr>
            <w:tcW w:w="1645" w:type="dxa"/>
          </w:tcPr>
          <w:p w14:paraId="504E94FD" w14:textId="77777777" w:rsidR="00516AC2" w:rsidRPr="00F04E0B" w:rsidRDefault="00516AC2" w:rsidP="00516AC2">
            <w:pPr>
              <w:rPr>
                <w:b/>
              </w:rPr>
            </w:pPr>
            <w:r w:rsidRPr="00F04E0B">
              <w:rPr>
                <w:b/>
              </w:rPr>
              <w:t>Mean (SD)</w:t>
            </w:r>
          </w:p>
        </w:tc>
        <w:tc>
          <w:tcPr>
            <w:tcW w:w="1770" w:type="dxa"/>
          </w:tcPr>
          <w:p w14:paraId="71B68FB0" w14:textId="59B51202" w:rsidR="00516AC2" w:rsidRPr="00F04E0B" w:rsidRDefault="00516AC2" w:rsidP="00516AC2">
            <w:pPr>
              <w:jc w:val="center"/>
              <w:rPr>
                <w:rFonts w:cstheme="minorHAnsi"/>
                <w:color w:val="000000"/>
              </w:rPr>
            </w:pPr>
            <w:r>
              <w:rPr>
                <w:rFonts w:cstheme="minorHAnsi"/>
                <w:color w:val="000000"/>
              </w:rPr>
              <w:t>60.39% (19.85)</w:t>
            </w:r>
          </w:p>
        </w:tc>
        <w:tc>
          <w:tcPr>
            <w:tcW w:w="1890" w:type="dxa"/>
            <w:shd w:val="clear" w:color="auto" w:fill="auto"/>
          </w:tcPr>
          <w:p w14:paraId="11C5BB0A" w14:textId="7A25A2F8" w:rsidR="00516AC2" w:rsidRPr="00F04E0B" w:rsidRDefault="00516AC2" w:rsidP="00516AC2">
            <w:pPr>
              <w:jc w:val="center"/>
              <w:rPr>
                <w:rFonts w:cstheme="minorHAnsi"/>
                <w:color w:val="000000"/>
              </w:rPr>
            </w:pPr>
            <w:r>
              <w:rPr>
                <w:rFonts w:cstheme="minorHAnsi"/>
                <w:color w:val="000000"/>
              </w:rPr>
              <w:t>60.40% (19.85)</w:t>
            </w:r>
          </w:p>
        </w:tc>
        <w:tc>
          <w:tcPr>
            <w:tcW w:w="2070" w:type="dxa"/>
          </w:tcPr>
          <w:p w14:paraId="69A517D7" w14:textId="7FB55122" w:rsidR="00516AC2" w:rsidRPr="00F04E0B" w:rsidRDefault="00516AC2" w:rsidP="00516AC2">
            <w:pPr>
              <w:jc w:val="center"/>
              <w:rPr>
                <w:rFonts w:cstheme="minorHAnsi"/>
                <w:color w:val="000000"/>
              </w:rPr>
            </w:pPr>
            <w:r>
              <w:rPr>
                <w:rFonts w:cstheme="minorHAnsi"/>
                <w:color w:val="000000"/>
              </w:rPr>
              <w:t>60.30% (19.86)</w:t>
            </w:r>
          </w:p>
        </w:tc>
        <w:tc>
          <w:tcPr>
            <w:tcW w:w="1980" w:type="dxa"/>
            <w:vAlign w:val="bottom"/>
          </w:tcPr>
          <w:p w14:paraId="10C11DF8" w14:textId="57D6F878" w:rsidR="00516AC2" w:rsidRDefault="00516AC2" w:rsidP="00516AC2">
            <w:pPr>
              <w:jc w:val="center"/>
              <w:rPr>
                <w:rFonts w:cstheme="minorHAnsi"/>
                <w:color w:val="000000"/>
              </w:rPr>
            </w:pPr>
            <w:r>
              <w:rPr>
                <w:rFonts w:cstheme="minorHAnsi"/>
                <w:color w:val="000000"/>
              </w:rPr>
              <w:t>60.36% (19.87)</w:t>
            </w:r>
          </w:p>
        </w:tc>
      </w:tr>
      <w:tr w:rsidR="00516AC2" w:rsidRPr="00F04E0B" w14:paraId="589F133D" w14:textId="5BA77FAC" w:rsidTr="002C158F">
        <w:tc>
          <w:tcPr>
            <w:tcW w:w="1645" w:type="dxa"/>
          </w:tcPr>
          <w:p w14:paraId="2DE055D7" w14:textId="77777777" w:rsidR="00516AC2" w:rsidRPr="00F04E0B" w:rsidRDefault="00516AC2" w:rsidP="00516AC2">
            <w:pPr>
              <w:rPr>
                <w:b/>
              </w:rPr>
            </w:pPr>
            <w:r w:rsidRPr="00F04E0B">
              <w:rPr>
                <w:b/>
              </w:rPr>
              <w:t>Percentile</w:t>
            </w:r>
          </w:p>
        </w:tc>
        <w:tc>
          <w:tcPr>
            <w:tcW w:w="1770" w:type="dxa"/>
          </w:tcPr>
          <w:p w14:paraId="1249DA5F" w14:textId="77777777" w:rsidR="00516AC2" w:rsidRPr="00F04E0B" w:rsidRDefault="00516AC2" w:rsidP="00516AC2">
            <w:pPr>
              <w:jc w:val="center"/>
              <w:rPr>
                <w:rFonts w:cstheme="minorHAnsi"/>
              </w:rPr>
            </w:pPr>
          </w:p>
        </w:tc>
        <w:tc>
          <w:tcPr>
            <w:tcW w:w="1890" w:type="dxa"/>
            <w:shd w:val="clear" w:color="auto" w:fill="auto"/>
          </w:tcPr>
          <w:p w14:paraId="7C974ABE" w14:textId="77777777" w:rsidR="00516AC2" w:rsidRPr="00F04E0B" w:rsidRDefault="00516AC2" w:rsidP="00516AC2">
            <w:pPr>
              <w:jc w:val="center"/>
              <w:rPr>
                <w:rFonts w:cstheme="minorHAnsi"/>
              </w:rPr>
            </w:pPr>
          </w:p>
        </w:tc>
        <w:tc>
          <w:tcPr>
            <w:tcW w:w="2070" w:type="dxa"/>
          </w:tcPr>
          <w:p w14:paraId="531B47D2" w14:textId="77777777" w:rsidR="00516AC2" w:rsidRPr="00F04E0B" w:rsidRDefault="00516AC2" w:rsidP="00516AC2">
            <w:pPr>
              <w:jc w:val="center"/>
              <w:rPr>
                <w:rFonts w:cstheme="minorHAnsi"/>
              </w:rPr>
            </w:pPr>
          </w:p>
        </w:tc>
        <w:tc>
          <w:tcPr>
            <w:tcW w:w="1980" w:type="dxa"/>
          </w:tcPr>
          <w:p w14:paraId="43D9C0E3" w14:textId="77777777" w:rsidR="00516AC2" w:rsidRPr="00F04E0B" w:rsidRDefault="00516AC2" w:rsidP="00516AC2">
            <w:pPr>
              <w:jc w:val="center"/>
              <w:rPr>
                <w:rFonts w:cstheme="minorHAnsi"/>
              </w:rPr>
            </w:pPr>
          </w:p>
        </w:tc>
      </w:tr>
      <w:tr w:rsidR="00516AC2" w:rsidRPr="00F04E0B" w14:paraId="12799C15" w14:textId="13C9AD11" w:rsidTr="002C158F">
        <w:tc>
          <w:tcPr>
            <w:tcW w:w="1645" w:type="dxa"/>
          </w:tcPr>
          <w:p w14:paraId="69B1DDBB" w14:textId="77777777" w:rsidR="00516AC2" w:rsidRPr="00F04E0B" w:rsidRDefault="00516AC2" w:rsidP="00516AC2">
            <w:pPr>
              <w:rPr>
                <w:b/>
              </w:rPr>
            </w:pPr>
            <w:r w:rsidRPr="00F04E0B">
              <w:rPr>
                <w:b/>
              </w:rPr>
              <w:t>100% Max</w:t>
            </w:r>
          </w:p>
        </w:tc>
        <w:tc>
          <w:tcPr>
            <w:tcW w:w="1770" w:type="dxa"/>
            <w:vAlign w:val="bottom"/>
          </w:tcPr>
          <w:p w14:paraId="67942F37" w14:textId="7734BE5F" w:rsidR="00516AC2" w:rsidRPr="00F04E0B" w:rsidRDefault="00516AC2" w:rsidP="00516AC2">
            <w:pPr>
              <w:jc w:val="center"/>
              <w:rPr>
                <w:rFonts w:cstheme="minorHAnsi"/>
              </w:rPr>
            </w:pPr>
            <w:r>
              <w:rPr>
                <w:rFonts w:ascii="Calibri" w:hAnsi="Calibri"/>
                <w:color w:val="000000"/>
              </w:rPr>
              <w:t>86.25%</w:t>
            </w:r>
          </w:p>
        </w:tc>
        <w:tc>
          <w:tcPr>
            <w:tcW w:w="1890" w:type="dxa"/>
            <w:shd w:val="clear" w:color="auto" w:fill="auto"/>
            <w:vAlign w:val="bottom"/>
          </w:tcPr>
          <w:p w14:paraId="60A450EE" w14:textId="4734745E" w:rsidR="00516AC2" w:rsidRPr="00F04E0B" w:rsidRDefault="00516AC2" w:rsidP="00516AC2">
            <w:pPr>
              <w:jc w:val="center"/>
              <w:rPr>
                <w:rFonts w:cstheme="minorHAnsi"/>
              </w:rPr>
            </w:pPr>
            <w:r>
              <w:rPr>
                <w:rFonts w:ascii="Calibri" w:hAnsi="Calibri"/>
                <w:color w:val="000000"/>
              </w:rPr>
              <w:t>86.21%</w:t>
            </w:r>
          </w:p>
        </w:tc>
        <w:tc>
          <w:tcPr>
            <w:tcW w:w="2070" w:type="dxa"/>
            <w:vAlign w:val="bottom"/>
          </w:tcPr>
          <w:p w14:paraId="1AC1A8E8" w14:textId="42610706" w:rsidR="00516AC2" w:rsidRPr="00F04E0B" w:rsidRDefault="00516AC2" w:rsidP="00516AC2">
            <w:pPr>
              <w:jc w:val="center"/>
              <w:rPr>
                <w:rFonts w:cstheme="minorHAnsi"/>
              </w:rPr>
            </w:pPr>
            <w:r>
              <w:rPr>
                <w:rFonts w:ascii="Calibri" w:hAnsi="Calibri"/>
                <w:color w:val="000000"/>
              </w:rPr>
              <w:t>86.23%</w:t>
            </w:r>
          </w:p>
        </w:tc>
        <w:tc>
          <w:tcPr>
            <w:tcW w:w="1980" w:type="dxa"/>
            <w:vAlign w:val="bottom"/>
          </w:tcPr>
          <w:p w14:paraId="3B012E88" w14:textId="6D06F693" w:rsidR="00516AC2" w:rsidRDefault="00516AC2" w:rsidP="00516AC2">
            <w:pPr>
              <w:jc w:val="center"/>
              <w:rPr>
                <w:rFonts w:ascii="Calibri" w:hAnsi="Calibri"/>
                <w:color w:val="000000"/>
              </w:rPr>
            </w:pPr>
            <w:r>
              <w:rPr>
                <w:rFonts w:ascii="Calibri" w:hAnsi="Calibri"/>
                <w:color w:val="000000"/>
              </w:rPr>
              <w:t>86.03%</w:t>
            </w:r>
          </w:p>
        </w:tc>
      </w:tr>
      <w:tr w:rsidR="00516AC2" w:rsidRPr="00F04E0B" w14:paraId="4278B05B" w14:textId="3762EA94" w:rsidTr="002C158F">
        <w:tc>
          <w:tcPr>
            <w:tcW w:w="1645" w:type="dxa"/>
          </w:tcPr>
          <w:p w14:paraId="5E659643" w14:textId="77777777" w:rsidR="00516AC2" w:rsidRPr="00F04E0B" w:rsidRDefault="00516AC2" w:rsidP="00516AC2">
            <w:pPr>
              <w:rPr>
                <w:b/>
              </w:rPr>
            </w:pPr>
            <w:r w:rsidRPr="00F04E0B">
              <w:rPr>
                <w:b/>
              </w:rPr>
              <w:t>99%</w:t>
            </w:r>
          </w:p>
        </w:tc>
        <w:tc>
          <w:tcPr>
            <w:tcW w:w="1770" w:type="dxa"/>
            <w:vAlign w:val="bottom"/>
          </w:tcPr>
          <w:p w14:paraId="7A4270DD" w14:textId="1F5758F5" w:rsidR="00516AC2" w:rsidRPr="00F04E0B" w:rsidRDefault="00516AC2" w:rsidP="00516AC2">
            <w:pPr>
              <w:jc w:val="center"/>
              <w:rPr>
                <w:rFonts w:cstheme="minorHAnsi"/>
              </w:rPr>
            </w:pPr>
            <w:r>
              <w:rPr>
                <w:rFonts w:ascii="Calibri" w:hAnsi="Calibri"/>
                <w:color w:val="000000"/>
              </w:rPr>
              <w:t>86.25%</w:t>
            </w:r>
          </w:p>
        </w:tc>
        <w:tc>
          <w:tcPr>
            <w:tcW w:w="1890" w:type="dxa"/>
            <w:shd w:val="clear" w:color="auto" w:fill="auto"/>
            <w:vAlign w:val="bottom"/>
          </w:tcPr>
          <w:p w14:paraId="6AAAABB5" w14:textId="14A51477" w:rsidR="00516AC2" w:rsidRPr="00F04E0B" w:rsidRDefault="00516AC2" w:rsidP="00516AC2">
            <w:pPr>
              <w:jc w:val="center"/>
              <w:rPr>
                <w:rFonts w:cstheme="minorHAnsi"/>
              </w:rPr>
            </w:pPr>
            <w:r>
              <w:rPr>
                <w:rFonts w:ascii="Calibri" w:hAnsi="Calibri"/>
                <w:color w:val="000000"/>
              </w:rPr>
              <w:t>86.21%</w:t>
            </w:r>
          </w:p>
        </w:tc>
        <w:tc>
          <w:tcPr>
            <w:tcW w:w="2070" w:type="dxa"/>
            <w:vAlign w:val="bottom"/>
          </w:tcPr>
          <w:p w14:paraId="308A3DFC" w14:textId="1C0EE07D" w:rsidR="00516AC2" w:rsidRPr="00F04E0B" w:rsidRDefault="00516AC2" w:rsidP="00516AC2">
            <w:pPr>
              <w:jc w:val="center"/>
              <w:rPr>
                <w:rFonts w:cstheme="minorHAnsi"/>
              </w:rPr>
            </w:pPr>
            <w:r>
              <w:rPr>
                <w:rFonts w:ascii="Calibri" w:hAnsi="Calibri"/>
                <w:color w:val="000000"/>
              </w:rPr>
              <w:t>86.23%</w:t>
            </w:r>
          </w:p>
        </w:tc>
        <w:tc>
          <w:tcPr>
            <w:tcW w:w="1980" w:type="dxa"/>
            <w:vAlign w:val="bottom"/>
          </w:tcPr>
          <w:p w14:paraId="68CDFB11" w14:textId="3F2E5439" w:rsidR="00516AC2" w:rsidRDefault="00516AC2" w:rsidP="00516AC2">
            <w:pPr>
              <w:jc w:val="center"/>
              <w:rPr>
                <w:rFonts w:ascii="Calibri" w:hAnsi="Calibri"/>
                <w:color w:val="000000"/>
              </w:rPr>
            </w:pPr>
            <w:r>
              <w:rPr>
                <w:rFonts w:ascii="Calibri" w:hAnsi="Calibri"/>
                <w:color w:val="000000"/>
              </w:rPr>
              <w:t>86.03%</w:t>
            </w:r>
          </w:p>
        </w:tc>
      </w:tr>
      <w:tr w:rsidR="00516AC2" w:rsidRPr="00F04E0B" w14:paraId="42F5FE49" w14:textId="4125AA12" w:rsidTr="002C158F">
        <w:tc>
          <w:tcPr>
            <w:tcW w:w="1645" w:type="dxa"/>
          </w:tcPr>
          <w:p w14:paraId="2B127BA9" w14:textId="77777777" w:rsidR="00516AC2" w:rsidRPr="00F04E0B" w:rsidRDefault="00516AC2" w:rsidP="00516AC2">
            <w:pPr>
              <w:rPr>
                <w:b/>
              </w:rPr>
            </w:pPr>
            <w:r w:rsidRPr="00F04E0B">
              <w:rPr>
                <w:b/>
              </w:rPr>
              <w:t>95%</w:t>
            </w:r>
          </w:p>
        </w:tc>
        <w:tc>
          <w:tcPr>
            <w:tcW w:w="1770" w:type="dxa"/>
            <w:vAlign w:val="bottom"/>
          </w:tcPr>
          <w:p w14:paraId="7F1ECBBF" w14:textId="01C6EB4A" w:rsidR="00516AC2" w:rsidRPr="00F04E0B" w:rsidRDefault="00516AC2" w:rsidP="00516AC2">
            <w:pPr>
              <w:jc w:val="center"/>
              <w:rPr>
                <w:rFonts w:cstheme="minorHAnsi"/>
              </w:rPr>
            </w:pPr>
            <w:r>
              <w:rPr>
                <w:rFonts w:ascii="Calibri" w:hAnsi="Calibri"/>
                <w:color w:val="000000"/>
              </w:rPr>
              <w:t>81.94%</w:t>
            </w:r>
          </w:p>
        </w:tc>
        <w:tc>
          <w:tcPr>
            <w:tcW w:w="1890" w:type="dxa"/>
            <w:shd w:val="clear" w:color="auto" w:fill="auto"/>
            <w:vAlign w:val="bottom"/>
          </w:tcPr>
          <w:p w14:paraId="25E8C430" w14:textId="0E4658AC" w:rsidR="00516AC2" w:rsidRPr="00F04E0B" w:rsidRDefault="00516AC2" w:rsidP="00516AC2">
            <w:pPr>
              <w:jc w:val="center"/>
              <w:rPr>
                <w:rFonts w:cstheme="minorHAnsi"/>
              </w:rPr>
            </w:pPr>
            <w:r>
              <w:rPr>
                <w:rFonts w:ascii="Calibri" w:hAnsi="Calibri"/>
                <w:color w:val="000000"/>
              </w:rPr>
              <w:t>81.96%</w:t>
            </w:r>
          </w:p>
        </w:tc>
        <w:tc>
          <w:tcPr>
            <w:tcW w:w="2070" w:type="dxa"/>
            <w:vAlign w:val="bottom"/>
          </w:tcPr>
          <w:p w14:paraId="6DBB3BE7" w14:textId="3BC471E3" w:rsidR="00516AC2" w:rsidRPr="00F04E0B" w:rsidRDefault="00516AC2" w:rsidP="00516AC2">
            <w:pPr>
              <w:jc w:val="center"/>
              <w:rPr>
                <w:rFonts w:cstheme="minorHAnsi"/>
              </w:rPr>
            </w:pPr>
            <w:r>
              <w:rPr>
                <w:rFonts w:ascii="Calibri" w:hAnsi="Calibri"/>
                <w:color w:val="000000"/>
              </w:rPr>
              <w:t>82.03%</w:t>
            </w:r>
          </w:p>
        </w:tc>
        <w:tc>
          <w:tcPr>
            <w:tcW w:w="1980" w:type="dxa"/>
            <w:vAlign w:val="bottom"/>
          </w:tcPr>
          <w:p w14:paraId="5CFA47C8" w14:textId="6F61DB0E" w:rsidR="00516AC2" w:rsidRDefault="00516AC2" w:rsidP="00516AC2">
            <w:pPr>
              <w:jc w:val="center"/>
              <w:rPr>
                <w:rFonts w:ascii="Calibri" w:hAnsi="Calibri"/>
                <w:color w:val="000000"/>
              </w:rPr>
            </w:pPr>
            <w:r>
              <w:rPr>
                <w:rFonts w:ascii="Calibri" w:hAnsi="Calibri"/>
                <w:color w:val="000000"/>
              </w:rPr>
              <w:t>81.71%</w:t>
            </w:r>
          </w:p>
        </w:tc>
      </w:tr>
      <w:tr w:rsidR="00516AC2" w:rsidRPr="00F04E0B" w14:paraId="3BF82499" w14:textId="08A0BC4B" w:rsidTr="002C158F">
        <w:trPr>
          <w:trHeight w:val="51"/>
        </w:trPr>
        <w:tc>
          <w:tcPr>
            <w:tcW w:w="1645" w:type="dxa"/>
          </w:tcPr>
          <w:p w14:paraId="7229099D" w14:textId="77777777" w:rsidR="00516AC2" w:rsidRPr="00F04E0B" w:rsidRDefault="00516AC2" w:rsidP="00516AC2">
            <w:pPr>
              <w:rPr>
                <w:b/>
              </w:rPr>
            </w:pPr>
            <w:r w:rsidRPr="00F04E0B">
              <w:rPr>
                <w:b/>
              </w:rPr>
              <w:t>90%</w:t>
            </w:r>
          </w:p>
        </w:tc>
        <w:tc>
          <w:tcPr>
            <w:tcW w:w="1770" w:type="dxa"/>
            <w:vAlign w:val="bottom"/>
          </w:tcPr>
          <w:p w14:paraId="2B62B6BC" w14:textId="1D17E38D" w:rsidR="00516AC2" w:rsidRPr="00F04E0B" w:rsidRDefault="00516AC2" w:rsidP="00516AC2">
            <w:pPr>
              <w:jc w:val="center"/>
              <w:rPr>
                <w:rFonts w:cstheme="minorHAnsi"/>
              </w:rPr>
            </w:pPr>
            <w:r>
              <w:rPr>
                <w:rFonts w:ascii="Calibri" w:hAnsi="Calibri"/>
                <w:color w:val="000000"/>
              </w:rPr>
              <w:t>79.95%</w:t>
            </w:r>
          </w:p>
        </w:tc>
        <w:tc>
          <w:tcPr>
            <w:tcW w:w="1890" w:type="dxa"/>
            <w:shd w:val="clear" w:color="auto" w:fill="auto"/>
            <w:vAlign w:val="bottom"/>
          </w:tcPr>
          <w:p w14:paraId="48C23B26" w14:textId="563BA16D" w:rsidR="00516AC2" w:rsidRPr="00F04E0B" w:rsidRDefault="00516AC2" w:rsidP="00516AC2">
            <w:pPr>
              <w:jc w:val="center"/>
              <w:rPr>
                <w:rFonts w:cstheme="minorHAnsi"/>
              </w:rPr>
            </w:pPr>
            <w:r>
              <w:rPr>
                <w:rFonts w:ascii="Calibri" w:hAnsi="Calibri"/>
                <w:color w:val="000000"/>
              </w:rPr>
              <w:t>79.95%</w:t>
            </w:r>
          </w:p>
        </w:tc>
        <w:tc>
          <w:tcPr>
            <w:tcW w:w="2070" w:type="dxa"/>
            <w:vAlign w:val="bottom"/>
          </w:tcPr>
          <w:p w14:paraId="5E63F699" w14:textId="48ACC071" w:rsidR="00516AC2" w:rsidRPr="00F04E0B" w:rsidRDefault="00516AC2" w:rsidP="00516AC2">
            <w:pPr>
              <w:jc w:val="center"/>
              <w:rPr>
                <w:rFonts w:cstheme="minorHAnsi"/>
              </w:rPr>
            </w:pPr>
            <w:r>
              <w:rPr>
                <w:rFonts w:ascii="Calibri" w:hAnsi="Calibri"/>
                <w:color w:val="000000"/>
              </w:rPr>
              <w:t>79.95%</w:t>
            </w:r>
          </w:p>
        </w:tc>
        <w:tc>
          <w:tcPr>
            <w:tcW w:w="1980" w:type="dxa"/>
            <w:vAlign w:val="bottom"/>
          </w:tcPr>
          <w:p w14:paraId="19644DA9" w14:textId="181DABD0" w:rsidR="00516AC2" w:rsidRDefault="00516AC2" w:rsidP="00516AC2">
            <w:pPr>
              <w:jc w:val="center"/>
              <w:rPr>
                <w:rFonts w:ascii="Calibri" w:hAnsi="Calibri"/>
                <w:color w:val="000000"/>
              </w:rPr>
            </w:pPr>
            <w:r>
              <w:rPr>
                <w:rFonts w:ascii="Calibri" w:hAnsi="Calibri"/>
                <w:color w:val="000000"/>
              </w:rPr>
              <w:t>80.10%</w:t>
            </w:r>
          </w:p>
        </w:tc>
      </w:tr>
      <w:tr w:rsidR="00516AC2" w:rsidRPr="00F04E0B" w14:paraId="5CAE2E18" w14:textId="3803F9A7" w:rsidTr="002C158F">
        <w:tc>
          <w:tcPr>
            <w:tcW w:w="1645" w:type="dxa"/>
          </w:tcPr>
          <w:p w14:paraId="39A0D354" w14:textId="77777777" w:rsidR="00516AC2" w:rsidRPr="00F04E0B" w:rsidRDefault="00516AC2" w:rsidP="00516AC2">
            <w:pPr>
              <w:rPr>
                <w:b/>
              </w:rPr>
            </w:pPr>
            <w:r w:rsidRPr="00F04E0B">
              <w:rPr>
                <w:b/>
              </w:rPr>
              <w:t>75% (Q3)</w:t>
            </w:r>
          </w:p>
        </w:tc>
        <w:tc>
          <w:tcPr>
            <w:tcW w:w="1770" w:type="dxa"/>
            <w:vAlign w:val="bottom"/>
          </w:tcPr>
          <w:p w14:paraId="69D81DDF" w14:textId="265F93D5" w:rsidR="00516AC2" w:rsidRPr="00F04E0B" w:rsidRDefault="00516AC2" w:rsidP="00516AC2">
            <w:pPr>
              <w:jc w:val="center"/>
              <w:rPr>
                <w:rFonts w:cstheme="minorHAnsi"/>
              </w:rPr>
            </w:pPr>
            <w:r>
              <w:rPr>
                <w:rFonts w:ascii="Calibri" w:hAnsi="Calibri"/>
                <w:color w:val="000000"/>
              </w:rPr>
              <w:t>72.37%</w:t>
            </w:r>
          </w:p>
        </w:tc>
        <w:tc>
          <w:tcPr>
            <w:tcW w:w="1890" w:type="dxa"/>
            <w:shd w:val="clear" w:color="auto" w:fill="auto"/>
            <w:vAlign w:val="bottom"/>
          </w:tcPr>
          <w:p w14:paraId="27900ED0" w14:textId="792BBFEC" w:rsidR="00516AC2" w:rsidRPr="00F04E0B" w:rsidRDefault="00516AC2" w:rsidP="00516AC2">
            <w:pPr>
              <w:jc w:val="center"/>
              <w:rPr>
                <w:rFonts w:cstheme="minorHAnsi"/>
              </w:rPr>
            </w:pPr>
            <w:r>
              <w:rPr>
                <w:rFonts w:ascii="Calibri" w:hAnsi="Calibri"/>
                <w:color w:val="000000"/>
              </w:rPr>
              <w:t>72.38%</w:t>
            </w:r>
          </w:p>
        </w:tc>
        <w:tc>
          <w:tcPr>
            <w:tcW w:w="2070" w:type="dxa"/>
            <w:vAlign w:val="bottom"/>
          </w:tcPr>
          <w:p w14:paraId="5C950A04" w14:textId="1E6EC5A9" w:rsidR="00516AC2" w:rsidRPr="00F04E0B" w:rsidRDefault="00516AC2" w:rsidP="00516AC2">
            <w:pPr>
              <w:jc w:val="center"/>
              <w:rPr>
                <w:rFonts w:cstheme="minorHAnsi"/>
              </w:rPr>
            </w:pPr>
            <w:r>
              <w:rPr>
                <w:rFonts w:ascii="Calibri" w:hAnsi="Calibri"/>
                <w:color w:val="000000"/>
              </w:rPr>
              <w:t>72.33%</w:t>
            </w:r>
          </w:p>
        </w:tc>
        <w:tc>
          <w:tcPr>
            <w:tcW w:w="1980" w:type="dxa"/>
            <w:vAlign w:val="bottom"/>
          </w:tcPr>
          <w:p w14:paraId="0B8D4A6C" w14:textId="45550AA0" w:rsidR="00516AC2" w:rsidRDefault="00516AC2" w:rsidP="00516AC2">
            <w:pPr>
              <w:jc w:val="center"/>
              <w:rPr>
                <w:rFonts w:ascii="Calibri" w:hAnsi="Calibri"/>
                <w:color w:val="000000"/>
              </w:rPr>
            </w:pPr>
            <w:r>
              <w:rPr>
                <w:rFonts w:ascii="Calibri" w:hAnsi="Calibri"/>
                <w:color w:val="000000"/>
              </w:rPr>
              <w:t>72.45%</w:t>
            </w:r>
          </w:p>
        </w:tc>
      </w:tr>
      <w:tr w:rsidR="00516AC2" w:rsidRPr="00F04E0B" w14:paraId="21F13F70" w14:textId="466CC10A" w:rsidTr="002C158F">
        <w:tc>
          <w:tcPr>
            <w:tcW w:w="1645" w:type="dxa"/>
          </w:tcPr>
          <w:p w14:paraId="212B251D" w14:textId="77777777" w:rsidR="00516AC2" w:rsidRPr="00F04E0B" w:rsidRDefault="00516AC2" w:rsidP="00516AC2">
            <w:pPr>
              <w:rPr>
                <w:b/>
              </w:rPr>
            </w:pPr>
            <w:r w:rsidRPr="00F04E0B">
              <w:rPr>
                <w:b/>
              </w:rPr>
              <w:t>50% (Median)</w:t>
            </w:r>
          </w:p>
        </w:tc>
        <w:tc>
          <w:tcPr>
            <w:tcW w:w="1770" w:type="dxa"/>
            <w:vAlign w:val="bottom"/>
          </w:tcPr>
          <w:p w14:paraId="0F3B8D93" w14:textId="1AA1A0DD" w:rsidR="00516AC2" w:rsidRPr="00F04E0B" w:rsidRDefault="00516AC2" w:rsidP="00516AC2">
            <w:pPr>
              <w:jc w:val="center"/>
              <w:rPr>
                <w:rFonts w:cstheme="minorHAnsi"/>
              </w:rPr>
            </w:pPr>
            <w:r>
              <w:rPr>
                <w:rFonts w:ascii="Calibri" w:hAnsi="Calibri"/>
                <w:color w:val="000000"/>
              </w:rPr>
              <w:t>66.57%</w:t>
            </w:r>
          </w:p>
        </w:tc>
        <w:tc>
          <w:tcPr>
            <w:tcW w:w="1890" w:type="dxa"/>
            <w:shd w:val="clear" w:color="auto" w:fill="auto"/>
            <w:vAlign w:val="bottom"/>
          </w:tcPr>
          <w:p w14:paraId="3DDB5511" w14:textId="673710D7" w:rsidR="00516AC2" w:rsidRPr="00F04E0B" w:rsidRDefault="00516AC2" w:rsidP="00516AC2">
            <w:pPr>
              <w:jc w:val="center"/>
              <w:rPr>
                <w:rFonts w:cstheme="minorHAnsi"/>
              </w:rPr>
            </w:pPr>
            <w:r>
              <w:rPr>
                <w:rFonts w:ascii="Calibri" w:hAnsi="Calibri"/>
                <w:color w:val="000000"/>
              </w:rPr>
              <w:t>66.53%</w:t>
            </w:r>
          </w:p>
        </w:tc>
        <w:tc>
          <w:tcPr>
            <w:tcW w:w="2070" w:type="dxa"/>
            <w:vAlign w:val="bottom"/>
          </w:tcPr>
          <w:p w14:paraId="225B419F" w14:textId="468E034A" w:rsidR="00516AC2" w:rsidRPr="00F04E0B" w:rsidRDefault="00516AC2" w:rsidP="00516AC2">
            <w:pPr>
              <w:jc w:val="center"/>
              <w:rPr>
                <w:rFonts w:cstheme="minorHAnsi"/>
              </w:rPr>
            </w:pPr>
            <w:r>
              <w:rPr>
                <w:rFonts w:ascii="Calibri" w:hAnsi="Calibri"/>
                <w:color w:val="000000"/>
              </w:rPr>
              <w:t>66.57%</w:t>
            </w:r>
          </w:p>
        </w:tc>
        <w:tc>
          <w:tcPr>
            <w:tcW w:w="1980" w:type="dxa"/>
            <w:vAlign w:val="bottom"/>
          </w:tcPr>
          <w:p w14:paraId="55367220" w14:textId="6A858193" w:rsidR="00516AC2" w:rsidRDefault="00516AC2" w:rsidP="00516AC2">
            <w:pPr>
              <w:jc w:val="center"/>
              <w:rPr>
                <w:rFonts w:ascii="Calibri" w:hAnsi="Calibri"/>
                <w:color w:val="000000"/>
              </w:rPr>
            </w:pPr>
            <w:r>
              <w:rPr>
                <w:rFonts w:ascii="Calibri" w:hAnsi="Calibri"/>
                <w:color w:val="000000"/>
              </w:rPr>
              <w:t>66.60%</w:t>
            </w:r>
          </w:p>
        </w:tc>
      </w:tr>
      <w:tr w:rsidR="00516AC2" w:rsidRPr="00F04E0B" w14:paraId="5FEE9A45" w14:textId="24C51922" w:rsidTr="002C158F">
        <w:tc>
          <w:tcPr>
            <w:tcW w:w="1645" w:type="dxa"/>
          </w:tcPr>
          <w:p w14:paraId="3F1B7AE3" w14:textId="77777777" w:rsidR="00516AC2" w:rsidRPr="00F04E0B" w:rsidRDefault="00516AC2" w:rsidP="00516AC2">
            <w:pPr>
              <w:rPr>
                <w:b/>
              </w:rPr>
            </w:pPr>
            <w:r w:rsidRPr="00F04E0B">
              <w:rPr>
                <w:b/>
              </w:rPr>
              <w:t>25% (Q1)</w:t>
            </w:r>
          </w:p>
        </w:tc>
        <w:tc>
          <w:tcPr>
            <w:tcW w:w="1770" w:type="dxa"/>
            <w:vAlign w:val="bottom"/>
          </w:tcPr>
          <w:p w14:paraId="1C463015" w14:textId="5120F909" w:rsidR="00516AC2" w:rsidRPr="00F04E0B" w:rsidRDefault="00516AC2" w:rsidP="00516AC2">
            <w:pPr>
              <w:jc w:val="center"/>
              <w:rPr>
                <w:rFonts w:cstheme="minorHAnsi"/>
              </w:rPr>
            </w:pPr>
            <w:r>
              <w:rPr>
                <w:rFonts w:ascii="Calibri" w:hAnsi="Calibri"/>
                <w:color w:val="000000"/>
              </w:rPr>
              <w:t>53.22%</w:t>
            </w:r>
          </w:p>
        </w:tc>
        <w:tc>
          <w:tcPr>
            <w:tcW w:w="1890" w:type="dxa"/>
            <w:shd w:val="clear" w:color="auto" w:fill="auto"/>
            <w:vAlign w:val="bottom"/>
          </w:tcPr>
          <w:p w14:paraId="1FF8D272" w14:textId="5D951F8E" w:rsidR="00516AC2" w:rsidRPr="00F04E0B" w:rsidRDefault="00516AC2" w:rsidP="00516AC2">
            <w:pPr>
              <w:jc w:val="center"/>
              <w:rPr>
                <w:rFonts w:cstheme="minorHAnsi"/>
              </w:rPr>
            </w:pPr>
            <w:r>
              <w:rPr>
                <w:rFonts w:ascii="Calibri" w:hAnsi="Calibri"/>
                <w:color w:val="000000"/>
              </w:rPr>
              <w:t>53.23%</w:t>
            </w:r>
          </w:p>
        </w:tc>
        <w:tc>
          <w:tcPr>
            <w:tcW w:w="2070" w:type="dxa"/>
            <w:vAlign w:val="bottom"/>
          </w:tcPr>
          <w:p w14:paraId="27AE2C84" w14:textId="3CE8828C" w:rsidR="00516AC2" w:rsidRPr="00F04E0B" w:rsidRDefault="00516AC2" w:rsidP="00516AC2">
            <w:pPr>
              <w:jc w:val="center"/>
              <w:rPr>
                <w:rFonts w:cstheme="minorHAnsi"/>
              </w:rPr>
            </w:pPr>
            <w:r>
              <w:rPr>
                <w:rFonts w:ascii="Calibri" w:hAnsi="Calibri"/>
                <w:color w:val="000000"/>
              </w:rPr>
              <w:t>53.22%</w:t>
            </w:r>
          </w:p>
        </w:tc>
        <w:tc>
          <w:tcPr>
            <w:tcW w:w="1980" w:type="dxa"/>
            <w:vAlign w:val="bottom"/>
          </w:tcPr>
          <w:p w14:paraId="3861E938" w14:textId="1EC8E25C" w:rsidR="00516AC2" w:rsidRDefault="00516AC2" w:rsidP="00516AC2">
            <w:pPr>
              <w:jc w:val="center"/>
              <w:rPr>
                <w:rFonts w:ascii="Calibri" w:hAnsi="Calibri"/>
                <w:color w:val="000000"/>
              </w:rPr>
            </w:pPr>
            <w:r>
              <w:rPr>
                <w:rFonts w:ascii="Calibri" w:hAnsi="Calibri"/>
                <w:color w:val="000000"/>
              </w:rPr>
              <w:t>53.26%</w:t>
            </w:r>
          </w:p>
        </w:tc>
      </w:tr>
      <w:tr w:rsidR="00516AC2" w:rsidRPr="00F04E0B" w14:paraId="0FFD19D0" w14:textId="1F3CE835" w:rsidTr="002C158F">
        <w:tc>
          <w:tcPr>
            <w:tcW w:w="1645" w:type="dxa"/>
          </w:tcPr>
          <w:p w14:paraId="5FA12C7F" w14:textId="77777777" w:rsidR="00516AC2" w:rsidRPr="00F04E0B" w:rsidRDefault="00516AC2" w:rsidP="00516AC2">
            <w:pPr>
              <w:rPr>
                <w:b/>
              </w:rPr>
            </w:pPr>
            <w:r w:rsidRPr="00F04E0B">
              <w:rPr>
                <w:b/>
              </w:rPr>
              <w:t>10%</w:t>
            </w:r>
          </w:p>
        </w:tc>
        <w:tc>
          <w:tcPr>
            <w:tcW w:w="1770" w:type="dxa"/>
            <w:vAlign w:val="bottom"/>
          </w:tcPr>
          <w:p w14:paraId="4534DF66" w14:textId="3EE50748" w:rsidR="00516AC2" w:rsidRPr="00F04E0B" w:rsidRDefault="00516AC2" w:rsidP="00516AC2">
            <w:pPr>
              <w:jc w:val="center"/>
              <w:rPr>
                <w:rFonts w:cstheme="minorHAnsi"/>
              </w:rPr>
            </w:pPr>
            <w:r>
              <w:rPr>
                <w:rFonts w:ascii="Calibri" w:hAnsi="Calibri"/>
                <w:color w:val="000000"/>
              </w:rPr>
              <w:t>20.07%</w:t>
            </w:r>
          </w:p>
        </w:tc>
        <w:tc>
          <w:tcPr>
            <w:tcW w:w="1890" w:type="dxa"/>
            <w:shd w:val="clear" w:color="auto" w:fill="auto"/>
            <w:vAlign w:val="bottom"/>
          </w:tcPr>
          <w:p w14:paraId="62F84415" w14:textId="24D94B3E" w:rsidR="00516AC2" w:rsidRPr="00F04E0B" w:rsidRDefault="00516AC2" w:rsidP="00516AC2">
            <w:pPr>
              <w:jc w:val="center"/>
              <w:rPr>
                <w:rFonts w:cstheme="minorHAnsi"/>
              </w:rPr>
            </w:pPr>
            <w:r>
              <w:rPr>
                <w:rFonts w:ascii="Calibri" w:hAnsi="Calibri"/>
                <w:color w:val="000000"/>
              </w:rPr>
              <w:t>20.08%</w:t>
            </w:r>
          </w:p>
        </w:tc>
        <w:tc>
          <w:tcPr>
            <w:tcW w:w="2070" w:type="dxa"/>
            <w:vAlign w:val="bottom"/>
          </w:tcPr>
          <w:p w14:paraId="6958D555" w14:textId="3F28592C" w:rsidR="00516AC2" w:rsidRPr="00F04E0B" w:rsidRDefault="00516AC2" w:rsidP="00516AC2">
            <w:pPr>
              <w:jc w:val="center"/>
              <w:rPr>
                <w:rFonts w:cstheme="minorHAnsi"/>
              </w:rPr>
            </w:pPr>
            <w:r>
              <w:rPr>
                <w:rFonts w:ascii="Calibri" w:hAnsi="Calibri"/>
                <w:color w:val="000000"/>
              </w:rPr>
              <w:t>20.06%</w:t>
            </w:r>
          </w:p>
        </w:tc>
        <w:tc>
          <w:tcPr>
            <w:tcW w:w="1980" w:type="dxa"/>
            <w:vAlign w:val="bottom"/>
          </w:tcPr>
          <w:p w14:paraId="7EA4EB14" w14:textId="1BA0A3DD" w:rsidR="00516AC2" w:rsidRDefault="00516AC2" w:rsidP="00516AC2">
            <w:pPr>
              <w:jc w:val="center"/>
              <w:rPr>
                <w:rFonts w:ascii="Calibri" w:hAnsi="Calibri"/>
                <w:color w:val="000000"/>
              </w:rPr>
            </w:pPr>
            <w:r>
              <w:rPr>
                <w:rFonts w:ascii="Calibri" w:hAnsi="Calibri"/>
                <w:color w:val="000000"/>
              </w:rPr>
              <w:t>20.04%</w:t>
            </w:r>
          </w:p>
        </w:tc>
      </w:tr>
      <w:tr w:rsidR="00516AC2" w:rsidRPr="00F04E0B" w14:paraId="594BFF3B" w14:textId="17DB5674" w:rsidTr="002C158F">
        <w:tc>
          <w:tcPr>
            <w:tcW w:w="1645" w:type="dxa"/>
          </w:tcPr>
          <w:p w14:paraId="7BD404AB" w14:textId="77777777" w:rsidR="00516AC2" w:rsidRPr="00F04E0B" w:rsidRDefault="00516AC2" w:rsidP="00516AC2">
            <w:pPr>
              <w:rPr>
                <w:b/>
              </w:rPr>
            </w:pPr>
            <w:r w:rsidRPr="00F04E0B">
              <w:rPr>
                <w:b/>
              </w:rPr>
              <w:t>5%</w:t>
            </w:r>
          </w:p>
        </w:tc>
        <w:tc>
          <w:tcPr>
            <w:tcW w:w="1770" w:type="dxa"/>
            <w:vAlign w:val="bottom"/>
          </w:tcPr>
          <w:p w14:paraId="0FC41899" w14:textId="09F1CA0D" w:rsidR="00516AC2" w:rsidRPr="00F04E0B" w:rsidRDefault="00516AC2" w:rsidP="00516AC2">
            <w:pPr>
              <w:jc w:val="center"/>
              <w:rPr>
                <w:rFonts w:cstheme="minorHAnsi"/>
              </w:rPr>
            </w:pPr>
            <w:r>
              <w:rPr>
                <w:rFonts w:ascii="Calibri" w:hAnsi="Calibri"/>
                <w:color w:val="000000"/>
              </w:rPr>
              <w:t>14.47%</w:t>
            </w:r>
          </w:p>
        </w:tc>
        <w:tc>
          <w:tcPr>
            <w:tcW w:w="1890" w:type="dxa"/>
            <w:shd w:val="clear" w:color="auto" w:fill="auto"/>
            <w:vAlign w:val="bottom"/>
          </w:tcPr>
          <w:p w14:paraId="50645CCF" w14:textId="20B438D8" w:rsidR="00516AC2" w:rsidRPr="00F04E0B" w:rsidRDefault="00516AC2" w:rsidP="00516AC2">
            <w:pPr>
              <w:jc w:val="center"/>
              <w:rPr>
                <w:rFonts w:cstheme="minorHAnsi"/>
              </w:rPr>
            </w:pPr>
            <w:r>
              <w:rPr>
                <w:rFonts w:ascii="Calibri" w:hAnsi="Calibri"/>
                <w:color w:val="000000"/>
              </w:rPr>
              <w:t>14.49%</w:t>
            </w:r>
          </w:p>
        </w:tc>
        <w:tc>
          <w:tcPr>
            <w:tcW w:w="2070" w:type="dxa"/>
            <w:vAlign w:val="bottom"/>
          </w:tcPr>
          <w:p w14:paraId="354954EE" w14:textId="3CF56E71" w:rsidR="00516AC2" w:rsidRPr="00F04E0B" w:rsidRDefault="00516AC2" w:rsidP="00516AC2">
            <w:pPr>
              <w:jc w:val="center"/>
              <w:rPr>
                <w:rFonts w:cstheme="minorHAnsi"/>
              </w:rPr>
            </w:pPr>
            <w:r>
              <w:rPr>
                <w:rFonts w:ascii="Calibri" w:hAnsi="Calibri"/>
                <w:color w:val="000000"/>
              </w:rPr>
              <w:t>14.50%</w:t>
            </w:r>
          </w:p>
        </w:tc>
        <w:tc>
          <w:tcPr>
            <w:tcW w:w="1980" w:type="dxa"/>
            <w:vAlign w:val="bottom"/>
          </w:tcPr>
          <w:p w14:paraId="5490611A" w14:textId="7CBB10DA" w:rsidR="00516AC2" w:rsidRDefault="00516AC2" w:rsidP="00516AC2">
            <w:pPr>
              <w:jc w:val="center"/>
              <w:rPr>
                <w:rFonts w:ascii="Calibri" w:hAnsi="Calibri"/>
                <w:color w:val="000000"/>
              </w:rPr>
            </w:pPr>
            <w:r>
              <w:rPr>
                <w:rFonts w:ascii="Calibri" w:hAnsi="Calibri"/>
                <w:color w:val="000000"/>
              </w:rPr>
              <w:t>14.43%</w:t>
            </w:r>
          </w:p>
        </w:tc>
      </w:tr>
      <w:tr w:rsidR="00516AC2" w:rsidRPr="00F04E0B" w14:paraId="2A309514" w14:textId="41EA0ECB" w:rsidTr="002C158F">
        <w:tc>
          <w:tcPr>
            <w:tcW w:w="1645" w:type="dxa"/>
          </w:tcPr>
          <w:p w14:paraId="538B734B" w14:textId="77777777" w:rsidR="00516AC2" w:rsidRPr="00F04E0B" w:rsidRDefault="00516AC2" w:rsidP="00516AC2">
            <w:pPr>
              <w:rPr>
                <w:b/>
              </w:rPr>
            </w:pPr>
            <w:r w:rsidRPr="00F04E0B">
              <w:rPr>
                <w:b/>
              </w:rPr>
              <w:t>1%</w:t>
            </w:r>
          </w:p>
        </w:tc>
        <w:tc>
          <w:tcPr>
            <w:tcW w:w="1770" w:type="dxa"/>
            <w:vAlign w:val="bottom"/>
          </w:tcPr>
          <w:p w14:paraId="27D2DD90" w14:textId="2E9AB2D4" w:rsidR="00516AC2" w:rsidRPr="00F04E0B" w:rsidRDefault="00516AC2" w:rsidP="00516AC2">
            <w:pPr>
              <w:jc w:val="center"/>
              <w:rPr>
                <w:rFonts w:cstheme="minorHAnsi"/>
              </w:rPr>
            </w:pPr>
            <w:r>
              <w:rPr>
                <w:rFonts w:ascii="Calibri" w:hAnsi="Calibri"/>
                <w:color w:val="000000"/>
              </w:rPr>
              <w:t>8.47%</w:t>
            </w:r>
          </w:p>
        </w:tc>
        <w:tc>
          <w:tcPr>
            <w:tcW w:w="1890" w:type="dxa"/>
            <w:shd w:val="clear" w:color="auto" w:fill="auto"/>
            <w:vAlign w:val="bottom"/>
          </w:tcPr>
          <w:p w14:paraId="64D844E9" w14:textId="3216297E" w:rsidR="00516AC2" w:rsidRPr="00F04E0B" w:rsidRDefault="00516AC2" w:rsidP="00516AC2">
            <w:pPr>
              <w:jc w:val="center"/>
              <w:rPr>
                <w:rFonts w:cstheme="minorHAnsi"/>
              </w:rPr>
            </w:pPr>
            <w:r>
              <w:rPr>
                <w:rFonts w:ascii="Calibri" w:hAnsi="Calibri"/>
                <w:color w:val="000000"/>
              </w:rPr>
              <w:t>8.48%</w:t>
            </w:r>
          </w:p>
        </w:tc>
        <w:tc>
          <w:tcPr>
            <w:tcW w:w="2070" w:type="dxa"/>
            <w:vAlign w:val="bottom"/>
          </w:tcPr>
          <w:p w14:paraId="57D8909C" w14:textId="1742A569" w:rsidR="00516AC2" w:rsidRPr="00F04E0B" w:rsidRDefault="00516AC2" w:rsidP="00516AC2">
            <w:pPr>
              <w:jc w:val="center"/>
              <w:rPr>
                <w:rFonts w:cstheme="minorHAnsi"/>
              </w:rPr>
            </w:pPr>
            <w:r>
              <w:rPr>
                <w:rFonts w:ascii="Calibri" w:hAnsi="Calibri"/>
                <w:color w:val="000000"/>
              </w:rPr>
              <w:t>8.46%</w:t>
            </w:r>
          </w:p>
        </w:tc>
        <w:tc>
          <w:tcPr>
            <w:tcW w:w="1980" w:type="dxa"/>
            <w:vAlign w:val="bottom"/>
          </w:tcPr>
          <w:p w14:paraId="4B464E3F" w14:textId="2F82648C" w:rsidR="00516AC2" w:rsidRDefault="00516AC2" w:rsidP="00516AC2">
            <w:pPr>
              <w:jc w:val="center"/>
              <w:rPr>
                <w:rFonts w:ascii="Calibri" w:hAnsi="Calibri"/>
                <w:color w:val="000000"/>
              </w:rPr>
            </w:pPr>
            <w:r>
              <w:rPr>
                <w:rFonts w:ascii="Calibri" w:hAnsi="Calibri"/>
                <w:color w:val="000000"/>
              </w:rPr>
              <w:t>8.42%</w:t>
            </w:r>
          </w:p>
        </w:tc>
      </w:tr>
      <w:tr w:rsidR="00516AC2" w:rsidRPr="00F04E0B" w14:paraId="4DDE3EB5" w14:textId="6334B22F" w:rsidTr="002C158F">
        <w:tc>
          <w:tcPr>
            <w:tcW w:w="1645" w:type="dxa"/>
          </w:tcPr>
          <w:p w14:paraId="24D3E307" w14:textId="77777777" w:rsidR="00516AC2" w:rsidRPr="00F04E0B" w:rsidRDefault="00516AC2" w:rsidP="00516AC2">
            <w:pPr>
              <w:rPr>
                <w:b/>
              </w:rPr>
            </w:pPr>
            <w:r w:rsidRPr="00F04E0B">
              <w:rPr>
                <w:b/>
              </w:rPr>
              <w:t>0% Min</w:t>
            </w:r>
          </w:p>
        </w:tc>
        <w:tc>
          <w:tcPr>
            <w:tcW w:w="1770" w:type="dxa"/>
            <w:vAlign w:val="bottom"/>
          </w:tcPr>
          <w:p w14:paraId="6FB9574F" w14:textId="72D0706D" w:rsidR="00516AC2" w:rsidRPr="00F04E0B" w:rsidRDefault="00516AC2" w:rsidP="00516AC2">
            <w:pPr>
              <w:jc w:val="center"/>
              <w:rPr>
                <w:rFonts w:cstheme="minorHAnsi"/>
              </w:rPr>
            </w:pPr>
            <w:r>
              <w:rPr>
                <w:rFonts w:ascii="Calibri" w:hAnsi="Calibri"/>
                <w:color w:val="000000"/>
              </w:rPr>
              <w:t>8.47%</w:t>
            </w:r>
          </w:p>
        </w:tc>
        <w:tc>
          <w:tcPr>
            <w:tcW w:w="1890" w:type="dxa"/>
            <w:shd w:val="clear" w:color="auto" w:fill="auto"/>
            <w:vAlign w:val="bottom"/>
          </w:tcPr>
          <w:p w14:paraId="1A26B7C1" w14:textId="687013B7" w:rsidR="00516AC2" w:rsidRPr="00F04E0B" w:rsidRDefault="00516AC2" w:rsidP="00516AC2">
            <w:pPr>
              <w:jc w:val="center"/>
              <w:rPr>
                <w:rFonts w:cstheme="minorHAnsi"/>
              </w:rPr>
            </w:pPr>
            <w:r>
              <w:rPr>
                <w:rFonts w:ascii="Calibri" w:hAnsi="Calibri"/>
                <w:color w:val="000000"/>
              </w:rPr>
              <w:t>8.48%</w:t>
            </w:r>
          </w:p>
        </w:tc>
        <w:tc>
          <w:tcPr>
            <w:tcW w:w="2070" w:type="dxa"/>
            <w:vAlign w:val="bottom"/>
          </w:tcPr>
          <w:p w14:paraId="5A641DF6" w14:textId="2EB1515D" w:rsidR="00516AC2" w:rsidRPr="00F04E0B" w:rsidRDefault="00516AC2" w:rsidP="00516AC2">
            <w:pPr>
              <w:jc w:val="center"/>
              <w:rPr>
                <w:rFonts w:cstheme="minorHAnsi"/>
              </w:rPr>
            </w:pPr>
            <w:r>
              <w:rPr>
                <w:rFonts w:ascii="Calibri" w:hAnsi="Calibri"/>
                <w:color w:val="000000"/>
              </w:rPr>
              <w:t>8.46%</w:t>
            </w:r>
          </w:p>
        </w:tc>
        <w:tc>
          <w:tcPr>
            <w:tcW w:w="1980" w:type="dxa"/>
            <w:vAlign w:val="bottom"/>
          </w:tcPr>
          <w:p w14:paraId="77A4931B" w14:textId="38581152" w:rsidR="00516AC2" w:rsidRDefault="00516AC2" w:rsidP="00516AC2">
            <w:pPr>
              <w:jc w:val="center"/>
              <w:rPr>
                <w:rFonts w:ascii="Calibri" w:hAnsi="Calibri"/>
                <w:color w:val="000000"/>
              </w:rPr>
            </w:pPr>
            <w:r>
              <w:rPr>
                <w:rFonts w:ascii="Calibri" w:hAnsi="Calibri"/>
                <w:color w:val="000000"/>
              </w:rPr>
              <w:t>8.42%</w:t>
            </w:r>
          </w:p>
        </w:tc>
      </w:tr>
      <w:tr w:rsidR="00516AC2" w:rsidRPr="00F04E0B" w14:paraId="7425DD74" w14:textId="7FAC716F" w:rsidTr="002C158F">
        <w:tc>
          <w:tcPr>
            <w:tcW w:w="3415" w:type="dxa"/>
            <w:gridSpan w:val="2"/>
          </w:tcPr>
          <w:p w14:paraId="7DFE0F8D" w14:textId="694167DF" w:rsidR="00516AC2" w:rsidRPr="00F04E0B" w:rsidRDefault="00516AC2" w:rsidP="00C61F65">
            <w:pPr>
              <w:jc w:val="center"/>
              <w:rPr>
                <w:rFonts w:cstheme="minorHAnsi"/>
              </w:rPr>
            </w:pPr>
            <w:r>
              <w:rPr>
                <w:b/>
              </w:rPr>
              <w:t>Pearson Correlation Coefficient (With “No Social Risk Factors”)</w:t>
            </w:r>
          </w:p>
        </w:tc>
        <w:tc>
          <w:tcPr>
            <w:tcW w:w="1890" w:type="dxa"/>
            <w:shd w:val="clear" w:color="auto" w:fill="auto"/>
            <w:vAlign w:val="bottom"/>
          </w:tcPr>
          <w:p w14:paraId="334CAA12" w14:textId="35360011" w:rsidR="00516AC2" w:rsidRPr="00F04E0B" w:rsidRDefault="00516AC2" w:rsidP="00C61F65">
            <w:pPr>
              <w:jc w:val="center"/>
              <w:rPr>
                <w:rFonts w:cstheme="minorHAnsi"/>
              </w:rPr>
            </w:pPr>
            <w:r>
              <w:rPr>
                <w:rFonts w:ascii="Arial" w:hAnsi="Arial" w:cs="Arial"/>
                <w:sz w:val="20"/>
                <w:szCs w:val="20"/>
              </w:rPr>
              <w:t>0.9999</w:t>
            </w:r>
          </w:p>
        </w:tc>
        <w:tc>
          <w:tcPr>
            <w:tcW w:w="2070" w:type="dxa"/>
            <w:vAlign w:val="bottom"/>
          </w:tcPr>
          <w:p w14:paraId="1F25471D" w14:textId="7ADC83B7" w:rsidR="00516AC2" w:rsidRPr="00F04E0B" w:rsidRDefault="00516AC2" w:rsidP="00C61F65">
            <w:pPr>
              <w:jc w:val="center"/>
              <w:rPr>
                <w:rFonts w:cstheme="minorHAnsi"/>
              </w:rPr>
            </w:pPr>
            <w:r>
              <w:rPr>
                <w:rFonts w:ascii="Arial" w:hAnsi="Arial" w:cs="Arial"/>
                <w:sz w:val="20"/>
                <w:szCs w:val="20"/>
              </w:rPr>
              <w:t>&gt;0.9999</w:t>
            </w:r>
          </w:p>
        </w:tc>
        <w:tc>
          <w:tcPr>
            <w:tcW w:w="1980" w:type="dxa"/>
            <w:vAlign w:val="bottom"/>
          </w:tcPr>
          <w:p w14:paraId="1588AEA1" w14:textId="1FD49A88" w:rsidR="00516AC2" w:rsidRDefault="00516AC2" w:rsidP="00C61F65">
            <w:pPr>
              <w:jc w:val="center"/>
              <w:rPr>
                <w:rFonts w:ascii="Arial" w:hAnsi="Arial" w:cs="Arial"/>
                <w:sz w:val="20"/>
                <w:szCs w:val="20"/>
              </w:rPr>
            </w:pPr>
            <w:r>
              <w:rPr>
                <w:rFonts w:ascii="Arial" w:hAnsi="Arial" w:cs="Arial"/>
                <w:sz w:val="20"/>
                <w:szCs w:val="20"/>
              </w:rPr>
              <w:t>0.9997</w:t>
            </w:r>
          </w:p>
        </w:tc>
      </w:tr>
    </w:tbl>
    <w:p w14:paraId="58460900" w14:textId="43E4CCB8" w:rsidR="007D2C45" w:rsidRDefault="007D2C45" w:rsidP="00001D73">
      <w:pPr>
        <w:autoSpaceDE w:val="0"/>
        <w:autoSpaceDN w:val="0"/>
        <w:adjustRightInd w:val="0"/>
        <w:spacing w:after="0" w:line="240" w:lineRule="auto"/>
        <w:rPr>
          <w:rFonts w:cstheme="minorHAnsi"/>
          <w:b/>
          <w:bCs/>
        </w:rPr>
      </w:pPr>
    </w:p>
    <w:p w14:paraId="3B8E94E6" w14:textId="2C1458B6" w:rsidR="00324C2D" w:rsidRPr="00B846AB" w:rsidRDefault="00324C2D" w:rsidP="00E60B60">
      <w:pPr>
        <w:spacing w:before="6480" w:after="100" w:afterAutospacing="1"/>
        <w:rPr>
          <w:rFonts w:cstheme="minorHAnsi"/>
          <w:bCs/>
        </w:rPr>
      </w:pPr>
      <w:r>
        <w:rPr>
          <w:b/>
        </w:rPr>
        <w:lastRenderedPageBreak/>
        <w:t xml:space="preserve">Figure </w:t>
      </w:r>
      <w:r w:rsidR="00FD0A2A">
        <w:rPr>
          <w:b/>
        </w:rPr>
        <w:t>4</w:t>
      </w:r>
      <w:r w:rsidRPr="00704360">
        <w:rPr>
          <w:b/>
        </w:rPr>
        <w:t>.</w:t>
      </w:r>
      <w:r>
        <w:rPr>
          <w:b/>
        </w:rPr>
        <w:t xml:space="preserve"> THA/TKA PRO-PM RSIRs by Quartiles of Hospitals Grouped by Propo</w:t>
      </w:r>
      <w:r w:rsidR="00A409DB">
        <w:rPr>
          <w:b/>
        </w:rPr>
        <w:t>rtion of Dual Eligible Patients</w:t>
      </w:r>
    </w:p>
    <w:p w14:paraId="700D7D74" w14:textId="767FD547" w:rsidR="00324C2D" w:rsidRDefault="00324C2D" w:rsidP="00001D73">
      <w:pPr>
        <w:autoSpaceDE w:val="0"/>
        <w:autoSpaceDN w:val="0"/>
        <w:adjustRightInd w:val="0"/>
        <w:spacing w:after="0" w:line="240" w:lineRule="auto"/>
        <w:rPr>
          <w:rFonts w:cstheme="minorHAnsi"/>
          <w:b/>
          <w:bCs/>
        </w:rPr>
      </w:pPr>
      <w:r>
        <w:rPr>
          <w:noProof/>
        </w:rPr>
        <w:drawing>
          <wp:inline distT="0" distB="0" distL="0" distR="0" wp14:anchorId="21260765" wp14:editId="30F7ED53">
            <wp:extent cx="5943600" cy="4814497"/>
            <wp:effectExtent l="0" t="0" r="0" b="5715"/>
            <wp:docPr id="7" name="Picture 7" descr="cid:image002.png@01D5A075.C3A4C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A075.C3A4C1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43600" cy="4814497"/>
                    </a:xfrm>
                    <a:prstGeom prst="rect">
                      <a:avLst/>
                    </a:prstGeom>
                    <a:noFill/>
                    <a:ln>
                      <a:noFill/>
                    </a:ln>
                  </pic:spPr>
                </pic:pic>
              </a:graphicData>
            </a:graphic>
          </wp:inline>
        </w:drawing>
      </w:r>
    </w:p>
    <w:p w14:paraId="65A08AE5" w14:textId="5AFD6E86" w:rsidR="00324C2D" w:rsidRDefault="00324C2D" w:rsidP="00001D73">
      <w:pPr>
        <w:autoSpaceDE w:val="0"/>
        <w:autoSpaceDN w:val="0"/>
        <w:adjustRightInd w:val="0"/>
        <w:spacing w:after="0" w:line="240" w:lineRule="auto"/>
        <w:rPr>
          <w:rFonts w:cstheme="minorHAnsi"/>
          <w:b/>
          <w:bCs/>
        </w:rPr>
      </w:pPr>
    </w:p>
    <w:p w14:paraId="4785E3C5" w14:textId="77777777" w:rsidR="00324C2D" w:rsidRPr="00001D73" w:rsidRDefault="00324C2D" w:rsidP="00001D73">
      <w:pPr>
        <w:autoSpaceDE w:val="0"/>
        <w:autoSpaceDN w:val="0"/>
        <w:adjustRightInd w:val="0"/>
        <w:spacing w:after="0" w:line="240" w:lineRule="auto"/>
        <w:rPr>
          <w:rFonts w:cstheme="minorHAnsi"/>
          <w:b/>
          <w:bCs/>
        </w:rPr>
      </w:pPr>
    </w:p>
    <w:p w14:paraId="19F02CAB" w14:textId="28CC0CC4" w:rsidR="00B01A29"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B01A29">
        <w:rPr>
          <w:rFonts w:cstheme="minorHAnsi"/>
          <w:bCs/>
        </w:rPr>
        <w:t>)</w:t>
      </w:r>
    </w:p>
    <w:tbl>
      <w:tblPr>
        <w:tblStyle w:val="TableGrid"/>
        <w:tblW w:w="0" w:type="auto"/>
        <w:tblLook w:val="04A0" w:firstRow="1" w:lastRow="0" w:firstColumn="1" w:lastColumn="0" w:noHBand="0" w:noVBand="1"/>
      </w:tblPr>
      <w:tblGrid>
        <w:gridCol w:w="9350"/>
      </w:tblGrid>
      <w:tr w:rsidR="00B01A29" w14:paraId="2A427453" w14:textId="77777777" w:rsidTr="00062A58">
        <w:tc>
          <w:tcPr>
            <w:tcW w:w="9350" w:type="dxa"/>
          </w:tcPr>
          <w:p w14:paraId="49A96199" w14:textId="10AC2EDE" w:rsidR="000A5DA8" w:rsidRPr="005C1A0D" w:rsidRDefault="000A5DA8" w:rsidP="000C4B23">
            <w:r w:rsidRPr="00883DA3">
              <w:rPr>
                <w:rFonts w:eastAsia="Times New Roman"/>
                <w:bCs/>
                <w:szCs w:val="24"/>
              </w:rPr>
              <w:t>To assess Model Performance</w:t>
            </w:r>
            <w:r w:rsidRPr="00557371">
              <w:rPr>
                <w:rFonts w:eastAsia="Times New Roman"/>
                <w:bCs/>
                <w:szCs w:val="24"/>
              </w:rPr>
              <w:t>, w</w:t>
            </w:r>
            <w:r>
              <w:t xml:space="preserve">e computed discrimination and calibration </w:t>
            </w:r>
            <w:r w:rsidRPr="005C1A0D">
              <w:t xml:space="preserve">statistics for assessing model performance (Harrell and Shih, 2001) for the </w:t>
            </w:r>
            <w:r>
              <w:t xml:space="preserve">clinically derived models, including: </w:t>
            </w:r>
          </w:p>
          <w:p w14:paraId="02121476" w14:textId="02AF1A70" w:rsidR="000A5DA8" w:rsidRPr="005C1A0D" w:rsidRDefault="000A5DA8" w:rsidP="000C4B23">
            <w:pPr>
              <w:spacing w:before="120" w:after="120"/>
            </w:pPr>
            <w:r w:rsidRPr="005C1A0D">
              <w:t>(1) Area under the receiver operating characteristi</w:t>
            </w:r>
            <w:r w:rsidR="00127CA3">
              <w:t>c (ROC) curve (the c-statistic [also called ROC]</w:t>
            </w:r>
            <w:r w:rsidRPr="005C1A0D">
              <w:t xml:space="preserve"> is the probability that predicting the outcome is better than chance, which is a measure of how accurately a statistical model </w:t>
            </w:r>
            <w:r w:rsidR="00061CD6" w:rsidRPr="005C1A0D">
              <w:t>can</w:t>
            </w:r>
            <w:r w:rsidRPr="005C1A0D">
              <w:t xml:space="preserve"> distinguish between a patient with and without an outcome)</w:t>
            </w:r>
            <w:r>
              <w:t xml:space="preserve">; </w:t>
            </w:r>
          </w:p>
          <w:p w14:paraId="0AA7993C" w14:textId="77777777" w:rsidR="000A5DA8" w:rsidRPr="005C1A0D" w:rsidRDefault="000A5DA8" w:rsidP="000C4B23">
            <w:pPr>
              <w:spacing w:before="120" w:after="120"/>
            </w:pPr>
            <w:r w:rsidRPr="005C1A0D">
              <w:t>(2) Predictive ability (discrimination in predictive ability measures the ability to distinguish high-risk subjects from low-risk subjects; good discrimination indicated by a wide range between the lowest decile and highest decile)</w:t>
            </w:r>
            <w:r>
              <w:t xml:space="preserve">; and </w:t>
            </w:r>
          </w:p>
          <w:p w14:paraId="74BC3F92" w14:textId="315C4CFB" w:rsidR="001677BB" w:rsidRDefault="000A5DA8" w:rsidP="000C4B23">
            <w:pPr>
              <w:spacing w:before="120" w:after="120"/>
            </w:pPr>
            <w:r w:rsidRPr="005C1A0D">
              <w:t xml:space="preserve">(3) Over-fitting indices (over-fitting refers to the phenomenon in which a model accurately describes the relationship between predictive variables and outcome in the development dataset but fails to </w:t>
            </w:r>
            <w:r w:rsidRPr="005C1A0D">
              <w:lastRenderedPageBreak/>
              <w:t>provide valid predictions in new patients)</w:t>
            </w:r>
            <w:r>
              <w:t>.</w:t>
            </w:r>
            <w:r w:rsidR="00B923EA">
              <w:rPr>
                <w:rFonts w:cstheme="minorHAnsi"/>
                <w:bCs/>
              </w:rPr>
              <w:t xml:space="preserve"> A value of close to zero </w:t>
            </w:r>
            <w:r w:rsidR="00A56CE7">
              <w:rPr>
                <w:rFonts w:cstheme="minorHAnsi"/>
                <w:bCs/>
              </w:rPr>
              <w:t>for the intercept</w:t>
            </w:r>
            <w:r w:rsidR="00B923EA">
              <w:rPr>
                <w:rFonts w:cstheme="minorHAnsi"/>
                <w:bCs/>
              </w:rPr>
              <w:t xml:space="preserve"> and close to 1 </w:t>
            </w:r>
            <w:r w:rsidR="00A56CE7">
              <w:rPr>
                <w:rFonts w:cstheme="minorHAnsi"/>
                <w:bCs/>
              </w:rPr>
              <w:t>for coefficient of risk score</w:t>
            </w:r>
            <w:r w:rsidR="00B923EA">
              <w:rPr>
                <w:rFonts w:cstheme="minorHAnsi"/>
                <w:bCs/>
              </w:rPr>
              <w:t xml:space="preserve"> indicates good calibration of the model.</w:t>
            </w:r>
          </w:p>
          <w:p w14:paraId="484A26C1" w14:textId="77777777" w:rsidR="001677BB" w:rsidRDefault="001677BB" w:rsidP="000C4B23"/>
          <w:p w14:paraId="4B3FFFCF" w14:textId="18798DCF" w:rsidR="003F2511" w:rsidRPr="00A43AAE" w:rsidRDefault="001677BB" w:rsidP="000C4B23">
            <w:pPr>
              <w:spacing w:before="120" w:after="120"/>
              <w:rPr>
                <w:u w:val="single"/>
              </w:rPr>
            </w:pPr>
            <w:r w:rsidRPr="00A43AAE">
              <w:rPr>
                <w:u w:val="single"/>
              </w:rPr>
              <w:t>Reference:</w:t>
            </w:r>
          </w:p>
          <w:p w14:paraId="1280AC79" w14:textId="6D654FC8" w:rsidR="003F2511" w:rsidRPr="005C1A0D" w:rsidRDefault="003F2511" w:rsidP="000C4B23">
            <w:pPr>
              <w:spacing w:before="120" w:after="120"/>
            </w:pPr>
            <w:r w:rsidRPr="00A857D4">
              <w:t xml:space="preserve">Harrell FE, Shih Y-CT. Using full probability models to compute probabilities of actual interest to decision makers. </w:t>
            </w:r>
            <w:r w:rsidRPr="00A857D4">
              <w:rPr>
                <w:i/>
              </w:rPr>
              <w:t xml:space="preserve">International journal of technology assessment in health care. </w:t>
            </w:r>
            <w:r w:rsidRPr="00A857D4">
              <w:t>2001;17(1):17-26.</w:t>
            </w:r>
          </w:p>
          <w:p w14:paraId="2DEE4E66" w14:textId="04FBFEDF" w:rsidR="000A5DA8" w:rsidRDefault="000A5DA8" w:rsidP="00062A58">
            <w:pPr>
              <w:autoSpaceDE w:val="0"/>
              <w:autoSpaceDN w:val="0"/>
              <w:adjustRightInd w:val="0"/>
              <w:rPr>
                <w:rFonts w:cstheme="minorHAnsi"/>
                <w:bCs/>
              </w:rPr>
            </w:pPr>
          </w:p>
        </w:tc>
      </w:tr>
    </w:tbl>
    <w:p w14:paraId="0CABCFFA" w14:textId="28BDF1C0"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04059">
        <w:rPr>
          <w:rFonts w:cstheme="minorHAnsi"/>
          <w:b/>
          <w:bCs/>
          <w:i/>
        </w:rPr>
        <w:t>If</w:t>
      </w:r>
      <w:r w:rsidR="00743E46" w:rsidRPr="00704059">
        <w:rPr>
          <w:rFonts w:cstheme="minorHAnsi"/>
          <w:b/>
          <w:bCs/>
          <w:i/>
        </w:rPr>
        <w:t xml:space="preserve"> stratified, skip to </w:t>
      </w:r>
      <w:hyperlink w:anchor="question2b49" w:history="1">
        <w:r w:rsidR="009C7513" w:rsidRPr="00704059">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8119D12" w14:textId="7A3B2F67" w:rsidR="00B01A29" w:rsidRPr="00001D73" w:rsidRDefault="00743E46" w:rsidP="00092566">
      <w:pPr>
        <w:autoSpaceDE w:val="0"/>
        <w:autoSpaceDN w:val="0"/>
        <w:adjustRightInd w:val="0"/>
        <w:spacing w:after="0" w:line="240" w:lineRule="auto"/>
        <w:rPr>
          <w:rFonts w:cstheme="minorHAnsi"/>
          <w:b/>
          <w:bCs/>
        </w:rPr>
      </w:pPr>
      <w:bookmarkStart w:id="14" w:name="_Hlk3294632"/>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tbl>
      <w:tblPr>
        <w:tblStyle w:val="TableGrid"/>
        <w:tblW w:w="9413" w:type="dxa"/>
        <w:tblLook w:val="04A0" w:firstRow="1" w:lastRow="0" w:firstColumn="1" w:lastColumn="0" w:noHBand="0" w:noVBand="1"/>
      </w:tblPr>
      <w:tblGrid>
        <w:gridCol w:w="9413"/>
      </w:tblGrid>
      <w:tr w:rsidR="00B01A29" w14:paraId="66FECAA7" w14:textId="77777777" w:rsidTr="008D18E1">
        <w:trPr>
          <w:trHeight w:val="1746"/>
        </w:trPr>
        <w:tc>
          <w:tcPr>
            <w:tcW w:w="9413" w:type="dxa"/>
          </w:tcPr>
          <w:bookmarkEnd w:id="14"/>
          <w:p w14:paraId="16DB56B0" w14:textId="11808B3A" w:rsidR="007F3234" w:rsidRDefault="008D18E1" w:rsidP="00574BE6">
            <w:pPr>
              <w:autoSpaceDE w:val="0"/>
              <w:autoSpaceDN w:val="0"/>
              <w:adjustRightInd w:val="0"/>
              <w:rPr>
                <w:szCs w:val="24"/>
              </w:rPr>
            </w:pPr>
            <w:r w:rsidRPr="008D18E1">
              <w:rPr>
                <w:rFonts w:cstheme="minorHAnsi"/>
                <w:bCs/>
              </w:rPr>
              <w:t xml:space="preserve">Model </w:t>
            </w:r>
            <w:r w:rsidR="005B563D">
              <w:rPr>
                <w:rFonts w:cstheme="minorHAnsi"/>
                <w:bCs/>
              </w:rPr>
              <w:t>p</w:t>
            </w:r>
            <w:r w:rsidRPr="008D18E1">
              <w:rPr>
                <w:rFonts w:cstheme="minorHAnsi"/>
                <w:bCs/>
              </w:rPr>
              <w:t xml:space="preserve">erformance </w:t>
            </w:r>
            <w:r w:rsidR="005B563D">
              <w:rPr>
                <w:rFonts w:cstheme="minorHAnsi"/>
                <w:bCs/>
              </w:rPr>
              <w:t>s</w:t>
            </w:r>
            <w:r w:rsidRPr="008D18E1">
              <w:rPr>
                <w:rFonts w:cstheme="minorHAnsi"/>
                <w:bCs/>
              </w:rPr>
              <w:t>tatistic</w:t>
            </w:r>
            <w:r w:rsidR="005B563D">
              <w:rPr>
                <w:rFonts w:cstheme="minorHAnsi"/>
                <w:bCs/>
              </w:rPr>
              <w:t>s for the risk model</w:t>
            </w:r>
            <w:r w:rsidR="00F17026">
              <w:rPr>
                <w:rFonts w:cstheme="minorHAnsi"/>
                <w:bCs/>
              </w:rPr>
              <w:t xml:space="preserve"> </w:t>
            </w:r>
            <w:r w:rsidR="00F17026">
              <w:rPr>
                <w:szCs w:val="24"/>
              </w:rPr>
              <w:t xml:space="preserve">for meeting or exceeding </w:t>
            </w:r>
            <w:r w:rsidR="006E4816">
              <w:rPr>
                <w:szCs w:val="24"/>
              </w:rPr>
              <w:t>the SCB</w:t>
            </w:r>
            <w:r w:rsidR="00F17026">
              <w:rPr>
                <w:szCs w:val="24"/>
              </w:rPr>
              <w:t xml:space="preserve"> </w:t>
            </w:r>
            <w:r w:rsidR="00065FC6">
              <w:rPr>
                <w:szCs w:val="24"/>
              </w:rPr>
              <w:t xml:space="preserve">improvement </w:t>
            </w:r>
            <w:r w:rsidR="00F17026">
              <w:rPr>
                <w:szCs w:val="24"/>
              </w:rPr>
              <w:t xml:space="preserve">threshold </w:t>
            </w:r>
            <w:r w:rsidR="007D2C45">
              <w:rPr>
                <w:szCs w:val="24"/>
              </w:rPr>
              <w:t xml:space="preserve">are provided in Table </w:t>
            </w:r>
            <w:r w:rsidR="00953B46">
              <w:rPr>
                <w:szCs w:val="24"/>
              </w:rPr>
              <w:t>10</w:t>
            </w:r>
            <w:r w:rsidR="00966B01">
              <w:rPr>
                <w:szCs w:val="24"/>
              </w:rPr>
              <w:t xml:space="preserve"> (below)</w:t>
            </w:r>
            <w:r w:rsidR="00586D8D">
              <w:rPr>
                <w:szCs w:val="24"/>
              </w:rPr>
              <w:t xml:space="preserve">. </w:t>
            </w:r>
          </w:p>
          <w:p w14:paraId="24C90B90" w14:textId="77777777" w:rsidR="00574BE6" w:rsidRDefault="00574BE6" w:rsidP="00574BE6">
            <w:pPr>
              <w:autoSpaceDE w:val="0"/>
              <w:autoSpaceDN w:val="0"/>
              <w:adjustRightInd w:val="0"/>
              <w:rPr>
                <w:szCs w:val="24"/>
              </w:rPr>
            </w:pPr>
          </w:p>
          <w:p w14:paraId="1B587906" w14:textId="77994C04" w:rsidR="00065FC6" w:rsidRDefault="00586D8D" w:rsidP="00574BE6">
            <w:pPr>
              <w:autoSpaceDE w:val="0"/>
              <w:autoSpaceDN w:val="0"/>
              <w:adjustRightInd w:val="0"/>
              <w:rPr>
                <w:bCs/>
              </w:rPr>
            </w:pPr>
            <w:r>
              <w:rPr>
                <w:szCs w:val="24"/>
              </w:rPr>
              <w:t>F</w:t>
            </w:r>
            <w:r w:rsidR="00D03FCB">
              <w:rPr>
                <w:szCs w:val="24"/>
              </w:rPr>
              <w:t xml:space="preserve">or the </w:t>
            </w:r>
            <w:r w:rsidR="00D03FCB" w:rsidRPr="007F3234">
              <w:rPr>
                <w:b/>
                <w:szCs w:val="24"/>
              </w:rPr>
              <w:t>Development Dataset</w:t>
            </w:r>
            <w:r w:rsidR="00F17026">
              <w:rPr>
                <w:szCs w:val="24"/>
              </w:rPr>
              <w:t>:</w:t>
            </w:r>
            <w:r w:rsidR="00F17026">
              <w:rPr>
                <w:bCs/>
              </w:rPr>
              <w:t xml:space="preserve"> </w:t>
            </w:r>
          </w:p>
          <w:p w14:paraId="0FA65EAF" w14:textId="78317AA3" w:rsidR="008D18E1" w:rsidRDefault="00F17026" w:rsidP="00574BE6">
            <w:pPr>
              <w:pStyle w:val="ListParagraph"/>
              <w:numPr>
                <w:ilvl w:val="0"/>
                <w:numId w:val="36"/>
              </w:numPr>
              <w:autoSpaceDE w:val="0"/>
              <w:autoSpaceDN w:val="0"/>
              <w:adjustRightInd w:val="0"/>
              <w:contextualSpacing w:val="0"/>
            </w:pPr>
            <w:r w:rsidRPr="00CF6C2D">
              <w:t>C-statistic</w:t>
            </w:r>
            <w:r w:rsidR="00065FC6">
              <w:t xml:space="preserve"> for the risk model i</w:t>
            </w:r>
            <w:r w:rsidRPr="00CF6C2D">
              <w:t xml:space="preserve">s </w:t>
            </w:r>
            <w:r w:rsidR="003F4A00">
              <w:t>0.6</w:t>
            </w:r>
            <w:r w:rsidR="00586D8D">
              <w:t>8</w:t>
            </w:r>
          </w:p>
          <w:p w14:paraId="4923C0B8" w14:textId="6181A846" w:rsidR="00065FC6" w:rsidRDefault="00065FC6" w:rsidP="00574BE6">
            <w:pPr>
              <w:pStyle w:val="ListParagraph"/>
              <w:numPr>
                <w:ilvl w:val="0"/>
                <w:numId w:val="36"/>
              </w:numPr>
              <w:autoSpaceDE w:val="0"/>
              <w:autoSpaceDN w:val="0"/>
              <w:adjustRightInd w:val="0"/>
              <w:contextualSpacing w:val="0"/>
            </w:pPr>
            <w:r>
              <w:t xml:space="preserve">Predictive ability from the lowest to highest decile is </w:t>
            </w:r>
            <w:r w:rsidR="003F4A00">
              <w:t>2</w:t>
            </w:r>
            <w:r w:rsidR="00586D8D">
              <w:t>6</w:t>
            </w:r>
            <w:r>
              <w:t xml:space="preserve">% - </w:t>
            </w:r>
            <w:r w:rsidR="003F4A00">
              <w:t>82</w:t>
            </w:r>
            <w:r>
              <w:t xml:space="preserve">% </w:t>
            </w:r>
          </w:p>
          <w:p w14:paraId="45ADDD0D" w14:textId="77777777" w:rsidR="007F3234" w:rsidRDefault="007F3234" w:rsidP="00574BE6">
            <w:pPr>
              <w:autoSpaceDE w:val="0"/>
              <w:autoSpaceDN w:val="0"/>
              <w:adjustRightInd w:val="0"/>
            </w:pPr>
          </w:p>
          <w:p w14:paraId="1A827948" w14:textId="5A5A9E83" w:rsidR="00586D8D" w:rsidRPr="008D18E1" w:rsidRDefault="00586D8D" w:rsidP="00574BE6">
            <w:pPr>
              <w:autoSpaceDE w:val="0"/>
              <w:autoSpaceDN w:val="0"/>
              <w:adjustRightInd w:val="0"/>
              <w:rPr>
                <w:rFonts w:cstheme="minorHAnsi"/>
                <w:bCs/>
              </w:rPr>
            </w:pPr>
            <w:r>
              <w:t xml:space="preserve">For the </w:t>
            </w:r>
            <w:r w:rsidRPr="007F3234">
              <w:rPr>
                <w:b/>
              </w:rPr>
              <w:t>Validation Dataset</w:t>
            </w:r>
            <w:r>
              <w:t>:</w:t>
            </w:r>
          </w:p>
          <w:p w14:paraId="20A30BF5" w14:textId="2370F7AB" w:rsidR="00586D8D" w:rsidRDefault="00586D8D" w:rsidP="00574BE6">
            <w:pPr>
              <w:pStyle w:val="ListParagraph"/>
              <w:numPr>
                <w:ilvl w:val="0"/>
                <w:numId w:val="39"/>
              </w:numPr>
              <w:autoSpaceDE w:val="0"/>
              <w:autoSpaceDN w:val="0"/>
              <w:adjustRightInd w:val="0"/>
              <w:contextualSpacing w:val="0"/>
            </w:pPr>
            <w:r w:rsidRPr="00CF6C2D">
              <w:t>C-statistic</w:t>
            </w:r>
            <w:r>
              <w:t xml:space="preserve"> for the risk model i</w:t>
            </w:r>
            <w:r w:rsidRPr="00CF6C2D">
              <w:t xml:space="preserve">s </w:t>
            </w:r>
            <w:r>
              <w:t>0.69</w:t>
            </w:r>
          </w:p>
          <w:p w14:paraId="2A0E78FE" w14:textId="0E642FF7" w:rsidR="00586D8D" w:rsidRDefault="00586D8D" w:rsidP="00574BE6">
            <w:pPr>
              <w:pStyle w:val="ListParagraph"/>
              <w:numPr>
                <w:ilvl w:val="0"/>
                <w:numId w:val="39"/>
              </w:numPr>
              <w:autoSpaceDE w:val="0"/>
              <w:autoSpaceDN w:val="0"/>
              <w:adjustRightInd w:val="0"/>
              <w:contextualSpacing w:val="0"/>
            </w:pPr>
            <w:r>
              <w:t xml:space="preserve">Predictive ability from the lowest to highest decile is 26% - 81% </w:t>
            </w:r>
          </w:p>
          <w:p w14:paraId="4F1416DC" w14:textId="77777777" w:rsidR="008D18E1" w:rsidRDefault="008D18E1" w:rsidP="00062A58">
            <w:pPr>
              <w:autoSpaceDE w:val="0"/>
              <w:autoSpaceDN w:val="0"/>
              <w:adjustRightInd w:val="0"/>
              <w:rPr>
                <w:rFonts w:cstheme="minorHAnsi"/>
                <w:bCs/>
              </w:rPr>
            </w:pPr>
          </w:p>
          <w:p w14:paraId="16C38CD7" w14:textId="4D5DD5AD" w:rsidR="00FA3363" w:rsidRDefault="00FA3363" w:rsidP="00062A58">
            <w:pPr>
              <w:autoSpaceDE w:val="0"/>
              <w:autoSpaceDN w:val="0"/>
              <w:adjustRightInd w:val="0"/>
              <w:rPr>
                <w:rFonts w:cstheme="minorHAnsi"/>
                <w:bCs/>
              </w:rPr>
            </w:pPr>
          </w:p>
        </w:tc>
      </w:tr>
    </w:tbl>
    <w:p w14:paraId="0CABCFFD" w14:textId="0D18954B" w:rsidR="00001D73" w:rsidRDefault="00001D73" w:rsidP="00092566">
      <w:pPr>
        <w:autoSpaceDE w:val="0"/>
        <w:autoSpaceDN w:val="0"/>
        <w:adjustRightInd w:val="0"/>
        <w:spacing w:after="0" w:line="240" w:lineRule="auto"/>
        <w:rPr>
          <w:rFonts w:cstheme="minorHAnsi"/>
          <w:b/>
          <w:bCs/>
        </w:rPr>
      </w:pPr>
    </w:p>
    <w:p w14:paraId="0E05637D" w14:textId="2564B01C" w:rsidR="00966B01" w:rsidRPr="00966B01" w:rsidRDefault="007D2C45" w:rsidP="00966B01">
      <w:pPr>
        <w:pStyle w:val="Caption"/>
        <w:jc w:val="left"/>
        <w:rPr>
          <w:szCs w:val="22"/>
        </w:rPr>
      </w:pPr>
      <w:r>
        <w:rPr>
          <w:szCs w:val="22"/>
        </w:rPr>
        <w:t xml:space="preserve">Table </w:t>
      </w:r>
      <w:r w:rsidR="00953B46">
        <w:rPr>
          <w:szCs w:val="22"/>
        </w:rPr>
        <w:t>10</w:t>
      </w:r>
      <w:r w:rsidR="00966B01" w:rsidRPr="00966B01">
        <w:rPr>
          <w:szCs w:val="22"/>
        </w:rPr>
        <w:t xml:space="preserve">. Model Performance </w:t>
      </w:r>
      <w:r w:rsidR="00966B01">
        <w:rPr>
          <w:szCs w:val="22"/>
        </w:rPr>
        <w:t xml:space="preserve">of Risk-Adjusted Model of SCB Improvement following </w:t>
      </w:r>
      <w:r w:rsidR="00966B01" w:rsidRPr="00966B01">
        <w:rPr>
          <w:szCs w:val="22"/>
        </w:rPr>
        <w:t>THA/TKA</w:t>
      </w:r>
    </w:p>
    <w:tbl>
      <w:tblPr>
        <w:tblStyle w:val="TableGrid"/>
        <w:tblW w:w="9350" w:type="dxa"/>
        <w:tblLook w:val="04A0" w:firstRow="1" w:lastRow="0" w:firstColumn="1" w:lastColumn="0" w:noHBand="0" w:noVBand="1"/>
      </w:tblPr>
      <w:tblGrid>
        <w:gridCol w:w="2996"/>
        <w:gridCol w:w="3097"/>
        <w:gridCol w:w="3257"/>
      </w:tblGrid>
      <w:tr w:rsidR="00765AE3" w14:paraId="65A11C8D" w14:textId="77777777" w:rsidTr="006234FE">
        <w:tc>
          <w:tcPr>
            <w:tcW w:w="2996" w:type="dxa"/>
            <w:shd w:val="clear" w:color="auto" w:fill="DEEAF6"/>
          </w:tcPr>
          <w:p w14:paraId="3BD2CAA3" w14:textId="77777777" w:rsidR="00765AE3" w:rsidRPr="00AC3E87" w:rsidRDefault="00765AE3" w:rsidP="00966B01">
            <w:pPr>
              <w:rPr>
                <w:b/>
                <w:szCs w:val="24"/>
              </w:rPr>
            </w:pPr>
            <w:r>
              <w:t xml:space="preserve"> </w:t>
            </w:r>
            <w:r w:rsidRPr="00AC3E87">
              <w:rPr>
                <w:b/>
                <w:szCs w:val="24"/>
              </w:rPr>
              <w:t>Model Performance Statistic</w:t>
            </w:r>
          </w:p>
        </w:tc>
        <w:tc>
          <w:tcPr>
            <w:tcW w:w="3097" w:type="dxa"/>
            <w:shd w:val="clear" w:color="auto" w:fill="DEEAF6"/>
          </w:tcPr>
          <w:p w14:paraId="46259E37" w14:textId="0CEB37C2" w:rsidR="00765AE3" w:rsidRDefault="00765AE3" w:rsidP="00175335">
            <w:pPr>
              <w:jc w:val="center"/>
              <w:rPr>
                <w:b/>
              </w:rPr>
            </w:pPr>
            <w:r>
              <w:rPr>
                <w:b/>
              </w:rPr>
              <w:t>Development Dataset</w:t>
            </w:r>
          </w:p>
        </w:tc>
        <w:tc>
          <w:tcPr>
            <w:tcW w:w="3257" w:type="dxa"/>
            <w:shd w:val="clear" w:color="auto" w:fill="DEEAF6"/>
          </w:tcPr>
          <w:p w14:paraId="4D30D67B" w14:textId="7BAD65C1" w:rsidR="00765AE3" w:rsidRPr="00DA293C" w:rsidRDefault="00765AE3" w:rsidP="00175335">
            <w:pPr>
              <w:jc w:val="center"/>
              <w:rPr>
                <w:b/>
              </w:rPr>
            </w:pPr>
            <w:r>
              <w:rPr>
                <w:b/>
              </w:rPr>
              <w:t>Validation Dataset</w:t>
            </w:r>
          </w:p>
        </w:tc>
      </w:tr>
      <w:tr w:rsidR="00C543C2" w14:paraId="22E4C274" w14:textId="77777777" w:rsidTr="006234FE">
        <w:tc>
          <w:tcPr>
            <w:tcW w:w="2996" w:type="dxa"/>
          </w:tcPr>
          <w:p w14:paraId="70D12E54" w14:textId="77777777" w:rsidR="00C543C2" w:rsidRDefault="00C543C2" w:rsidP="00C543C2">
            <w:pPr>
              <w:rPr>
                <w:szCs w:val="24"/>
              </w:rPr>
            </w:pPr>
            <w:r>
              <w:rPr>
                <w:szCs w:val="24"/>
              </w:rPr>
              <w:t>C-statistic</w:t>
            </w:r>
          </w:p>
        </w:tc>
        <w:tc>
          <w:tcPr>
            <w:tcW w:w="3097" w:type="dxa"/>
          </w:tcPr>
          <w:p w14:paraId="4E40B508" w14:textId="16289111" w:rsidR="00C543C2" w:rsidRPr="009326FB" w:rsidRDefault="00C543C2" w:rsidP="00C543C2">
            <w:pPr>
              <w:jc w:val="center"/>
              <w:rPr>
                <w:rFonts w:ascii="Calibri" w:hAnsi="Calibri" w:cs="Calibri"/>
                <w:color w:val="000000"/>
              </w:rPr>
            </w:pPr>
            <w:r>
              <w:rPr>
                <w:rFonts w:ascii="Calibri" w:hAnsi="Calibri" w:cs="Calibri"/>
                <w:color w:val="000000"/>
              </w:rPr>
              <w:t>0.68</w:t>
            </w:r>
          </w:p>
        </w:tc>
        <w:tc>
          <w:tcPr>
            <w:tcW w:w="3257" w:type="dxa"/>
          </w:tcPr>
          <w:p w14:paraId="118127E9" w14:textId="2D51F738" w:rsidR="00C543C2" w:rsidRPr="009326FB" w:rsidRDefault="00C543C2" w:rsidP="00C543C2">
            <w:pPr>
              <w:jc w:val="center"/>
              <w:rPr>
                <w:rFonts w:ascii="Calibri" w:hAnsi="Calibri" w:cs="Calibri"/>
                <w:color w:val="000000"/>
              </w:rPr>
            </w:pPr>
            <w:r>
              <w:rPr>
                <w:rFonts w:ascii="Calibri" w:hAnsi="Calibri" w:cs="Calibri"/>
                <w:color w:val="000000"/>
              </w:rPr>
              <w:t>0.69</w:t>
            </w:r>
          </w:p>
        </w:tc>
      </w:tr>
      <w:tr w:rsidR="00C543C2" w14:paraId="777D1A3D" w14:textId="77777777" w:rsidTr="00C543C2">
        <w:tc>
          <w:tcPr>
            <w:tcW w:w="2996" w:type="dxa"/>
          </w:tcPr>
          <w:p w14:paraId="3D04A772" w14:textId="74B0E72F" w:rsidR="00C543C2" w:rsidRDefault="00C543C2" w:rsidP="00C543C2">
            <w:pPr>
              <w:rPr>
                <w:szCs w:val="24"/>
              </w:rPr>
            </w:pPr>
            <w:r>
              <w:rPr>
                <w:szCs w:val="24"/>
              </w:rPr>
              <w:t>Calibration</w:t>
            </w:r>
            <w:r w:rsidR="00592399">
              <w:rPr>
                <w:szCs w:val="24"/>
              </w:rPr>
              <w:t xml:space="preserve"> </w:t>
            </w:r>
            <w:r w:rsidR="00592399" w:rsidRPr="00CF6C2D">
              <w:rPr>
                <w:bCs/>
              </w:rPr>
              <w:t>(γ0, γ1)</w:t>
            </w:r>
          </w:p>
        </w:tc>
        <w:tc>
          <w:tcPr>
            <w:tcW w:w="3097" w:type="dxa"/>
          </w:tcPr>
          <w:p w14:paraId="20FC8B2F" w14:textId="3809F7B6" w:rsidR="00C543C2" w:rsidRPr="00292B62" w:rsidRDefault="00C543C2" w:rsidP="00C543C2">
            <w:pPr>
              <w:jc w:val="center"/>
              <w:rPr>
                <w:szCs w:val="24"/>
              </w:rPr>
            </w:pPr>
            <w:r>
              <w:rPr>
                <w:szCs w:val="24"/>
              </w:rPr>
              <w:t>0.00</w:t>
            </w:r>
            <w:r w:rsidR="00592399">
              <w:rPr>
                <w:szCs w:val="24"/>
              </w:rPr>
              <w:t>,</w:t>
            </w:r>
            <w:r>
              <w:rPr>
                <w:szCs w:val="24"/>
              </w:rPr>
              <w:t xml:space="preserve"> 1.00</w:t>
            </w:r>
          </w:p>
        </w:tc>
        <w:tc>
          <w:tcPr>
            <w:tcW w:w="3257" w:type="dxa"/>
          </w:tcPr>
          <w:p w14:paraId="54CA7F29" w14:textId="5FEEDDFC" w:rsidR="00C543C2" w:rsidRPr="00292B62" w:rsidRDefault="00C543C2" w:rsidP="00C543C2">
            <w:pPr>
              <w:jc w:val="center"/>
              <w:rPr>
                <w:szCs w:val="24"/>
              </w:rPr>
            </w:pPr>
            <w:r>
              <w:rPr>
                <w:szCs w:val="24"/>
              </w:rPr>
              <w:t>-0.08</w:t>
            </w:r>
            <w:r w:rsidR="00592399">
              <w:rPr>
                <w:szCs w:val="24"/>
              </w:rPr>
              <w:t>,</w:t>
            </w:r>
            <w:r>
              <w:rPr>
                <w:szCs w:val="24"/>
              </w:rPr>
              <w:t xml:space="preserve"> 1.02</w:t>
            </w:r>
          </w:p>
        </w:tc>
      </w:tr>
      <w:tr w:rsidR="00C543C2" w14:paraId="01483011" w14:textId="77777777" w:rsidTr="006234FE">
        <w:tc>
          <w:tcPr>
            <w:tcW w:w="2996" w:type="dxa"/>
          </w:tcPr>
          <w:p w14:paraId="156487E7" w14:textId="77777777" w:rsidR="00C543C2" w:rsidRDefault="00C543C2" w:rsidP="00C543C2">
            <w:pPr>
              <w:rPr>
                <w:szCs w:val="24"/>
              </w:rPr>
            </w:pPr>
            <w:r>
              <w:rPr>
                <w:szCs w:val="24"/>
              </w:rPr>
              <w:t>Predictive Ability</w:t>
            </w:r>
          </w:p>
        </w:tc>
        <w:tc>
          <w:tcPr>
            <w:tcW w:w="3097" w:type="dxa"/>
          </w:tcPr>
          <w:p w14:paraId="69C579EA" w14:textId="6C567F73" w:rsidR="00C543C2" w:rsidRPr="00292B62" w:rsidRDefault="00C543C2" w:rsidP="00C543C2">
            <w:pPr>
              <w:jc w:val="center"/>
              <w:rPr>
                <w:szCs w:val="24"/>
              </w:rPr>
            </w:pPr>
            <w:r>
              <w:rPr>
                <w:szCs w:val="24"/>
              </w:rPr>
              <w:t>26% – 82%</w:t>
            </w:r>
          </w:p>
        </w:tc>
        <w:tc>
          <w:tcPr>
            <w:tcW w:w="3257" w:type="dxa"/>
          </w:tcPr>
          <w:p w14:paraId="42242FBD" w14:textId="4D645324" w:rsidR="00C543C2" w:rsidRPr="00292B62" w:rsidRDefault="00C543C2" w:rsidP="00C543C2">
            <w:pPr>
              <w:jc w:val="center"/>
              <w:rPr>
                <w:szCs w:val="24"/>
              </w:rPr>
            </w:pPr>
            <w:r>
              <w:rPr>
                <w:szCs w:val="24"/>
              </w:rPr>
              <w:t>26% – 81%</w:t>
            </w:r>
          </w:p>
        </w:tc>
      </w:tr>
    </w:tbl>
    <w:p w14:paraId="010B5EB8" w14:textId="054BCCE3" w:rsidR="00966B01" w:rsidRDefault="00966B01" w:rsidP="00092566">
      <w:pPr>
        <w:autoSpaceDE w:val="0"/>
        <w:autoSpaceDN w:val="0"/>
        <w:adjustRightInd w:val="0"/>
        <w:spacing w:after="0" w:line="240" w:lineRule="auto"/>
        <w:rPr>
          <w:rFonts w:cstheme="minorHAnsi"/>
          <w:b/>
          <w:bCs/>
        </w:rPr>
      </w:pPr>
    </w:p>
    <w:p w14:paraId="49914D0F" w14:textId="77777777" w:rsidR="00966B01" w:rsidRPr="00001D73" w:rsidRDefault="00966B01" w:rsidP="00092566">
      <w:pPr>
        <w:autoSpaceDE w:val="0"/>
        <w:autoSpaceDN w:val="0"/>
        <w:adjustRightInd w:val="0"/>
        <w:spacing w:after="0" w:line="240" w:lineRule="auto"/>
        <w:rPr>
          <w:rFonts w:cstheme="minorHAnsi"/>
          <w:b/>
          <w:bCs/>
        </w:rPr>
      </w:pPr>
    </w:p>
    <w:p w14:paraId="434B2755" w14:textId="10B4C030" w:rsidR="00B01A29" w:rsidRDefault="009C7513" w:rsidP="00092566">
      <w:pPr>
        <w:autoSpaceDE w:val="0"/>
        <w:autoSpaceDN w:val="0"/>
        <w:adjustRightInd w:val="0"/>
        <w:spacing w:after="0" w:line="240" w:lineRule="auto"/>
        <w:rPr>
          <w:rFonts w:cstheme="minorHAnsi"/>
          <w:b/>
          <w:bCs/>
        </w:rPr>
      </w:pPr>
      <w:bookmarkStart w:id="15" w:name="_Hlk3294646"/>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B01A29">
        <w:rPr>
          <w:rFonts w:cstheme="minorHAnsi"/>
          <w:bCs/>
        </w:rPr>
        <w:t xml:space="preserve">:  </w:t>
      </w:r>
      <w:bookmarkEnd w:id="15"/>
    </w:p>
    <w:tbl>
      <w:tblPr>
        <w:tblStyle w:val="TableGrid"/>
        <w:tblW w:w="9374" w:type="dxa"/>
        <w:tblLook w:val="04A0" w:firstRow="1" w:lastRow="0" w:firstColumn="1" w:lastColumn="0" w:noHBand="0" w:noVBand="1"/>
      </w:tblPr>
      <w:tblGrid>
        <w:gridCol w:w="9374"/>
      </w:tblGrid>
      <w:tr w:rsidR="00B01A29" w14:paraId="2B229A67" w14:textId="77777777" w:rsidTr="004D2CE5">
        <w:trPr>
          <w:trHeight w:val="692"/>
        </w:trPr>
        <w:tc>
          <w:tcPr>
            <w:tcW w:w="9374" w:type="dxa"/>
          </w:tcPr>
          <w:p w14:paraId="3530C5D7" w14:textId="188F6BEF" w:rsidR="008D18E1" w:rsidRPr="004D2CE5" w:rsidRDefault="00F17026" w:rsidP="000C4B23">
            <w:pPr>
              <w:autoSpaceDE w:val="0"/>
              <w:autoSpaceDN w:val="0"/>
              <w:adjustRightInd w:val="0"/>
              <w:rPr>
                <w:szCs w:val="24"/>
              </w:rPr>
            </w:pPr>
            <w:r w:rsidRPr="00CF6C2D">
              <w:rPr>
                <w:rFonts w:cstheme="minorHAnsi"/>
                <w:bCs/>
              </w:rPr>
              <w:t xml:space="preserve">The </w:t>
            </w:r>
            <w:r w:rsidRPr="00CF6C2D">
              <w:rPr>
                <w:bCs/>
                <w:i/>
              </w:rPr>
              <w:t xml:space="preserve">calibration indices </w:t>
            </w:r>
            <w:r w:rsidRPr="00CF6C2D">
              <w:rPr>
                <w:bCs/>
              </w:rPr>
              <w:t xml:space="preserve">(γ0, γ1) </w:t>
            </w:r>
            <w:r w:rsidR="0049277B" w:rsidRPr="000F163C">
              <w:rPr>
                <w:bCs/>
              </w:rPr>
              <w:t xml:space="preserve">used </w:t>
            </w:r>
            <w:r w:rsidR="000F163C" w:rsidRPr="000F163C">
              <w:rPr>
                <w:bCs/>
              </w:rPr>
              <w:t>to assess</w:t>
            </w:r>
            <w:r w:rsidRPr="000F163C">
              <w:rPr>
                <w:rFonts w:cstheme="minorHAnsi"/>
                <w:bCs/>
              </w:rPr>
              <w:t xml:space="preserve"> the risk model</w:t>
            </w:r>
            <w:r w:rsidR="002D1E3A" w:rsidRPr="000F163C">
              <w:rPr>
                <w:szCs w:val="24"/>
              </w:rPr>
              <w:t xml:space="preserve"> for </w:t>
            </w:r>
            <w:r w:rsidRPr="000F163C">
              <w:rPr>
                <w:szCs w:val="24"/>
              </w:rPr>
              <w:t>meeting or exceeding</w:t>
            </w:r>
            <w:r>
              <w:rPr>
                <w:szCs w:val="24"/>
              </w:rPr>
              <w:t xml:space="preserve"> SCB </w:t>
            </w:r>
            <w:r w:rsidR="00065FC6">
              <w:rPr>
                <w:szCs w:val="24"/>
              </w:rPr>
              <w:t>improvement</w:t>
            </w:r>
            <w:r>
              <w:rPr>
                <w:szCs w:val="24"/>
              </w:rPr>
              <w:t xml:space="preserve"> </w:t>
            </w:r>
            <w:r w:rsidR="00065FC6">
              <w:rPr>
                <w:szCs w:val="24"/>
              </w:rPr>
              <w:t>are</w:t>
            </w:r>
            <w:r w:rsidR="007D2C45">
              <w:rPr>
                <w:szCs w:val="24"/>
              </w:rPr>
              <w:t xml:space="preserve"> provided </w:t>
            </w:r>
            <w:r w:rsidR="00586D8D">
              <w:rPr>
                <w:szCs w:val="24"/>
              </w:rPr>
              <w:t xml:space="preserve">for the </w:t>
            </w:r>
            <w:r w:rsidR="00586D8D" w:rsidRPr="0082144F">
              <w:rPr>
                <w:b/>
                <w:szCs w:val="24"/>
              </w:rPr>
              <w:t>Validation Dataset</w:t>
            </w:r>
            <w:r w:rsidR="00586D8D">
              <w:rPr>
                <w:szCs w:val="24"/>
              </w:rPr>
              <w:t xml:space="preserve"> </w:t>
            </w:r>
            <w:r w:rsidR="007D2C45">
              <w:rPr>
                <w:szCs w:val="24"/>
              </w:rPr>
              <w:t xml:space="preserve">in Table </w:t>
            </w:r>
            <w:r w:rsidR="00953B46">
              <w:rPr>
                <w:szCs w:val="24"/>
              </w:rPr>
              <w:t>10</w:t>
            </w:r>
            <w:r w:rsidR="00966B01">
              <w:rPr>
                <w:szCs w:val="24"/>
              </w:rPr>
              <w:t xml:space="preserve"> (above)</w:t>
            </w:r>
            <w:r w:rsidR="00065FC6">
              <w:rPr>
                <w:szCs w:val="24"/>
              </w:rPr>
              <w:t xml:space="preserve">: </w:t>
            </w:r>
            <w:r w:rsidR="00065FC6">
              <w:rPr>
                <w:rFonts w:cstheme="minorHAnsi"/>
                <w:bCs/>
              </w:rPr>
              <w:t>(-0.0</w:t>
            </w:r>
            <w:r w:rsidR="002D1E3A">
              <w:rPr>
                <w:rFonts w:cstheme="minorHAnsi"/>
                <w:bCs/>
              </w:rPr>
              <w:t>8</w:t>
            </w:r>
            <w:r w:rsidR="00065FC6">
              <w:rPr>
                <w:rFonts w:cstheme="minorHAnsi"/>
                <w:bCs/>
              </w:rPr>
              <w:t xml:space="preserve">, </w:t>
            </w:r>
            <w:r w:rsidR="002D1E3A">
              <w:rPr>
                <w:rFonts w:cstheme="minorHAnsi"/>
                <w:bCs/>
              </w:rPr>
              <w:t>1.02</w:t>
            </w:r>
            <w:r w:rsidR="00065FC6">
              <w:rPr>
                <w:rFonts w:cstheme="minorHAnsi"/>
                <w:bCs/>
              </w:rPr>
              <w:t>)</w:t>
            </w:r>
            <w:r w:rsidR="004D2CE5">
              <w:rPr>
                <w:rFonts w:cstheme="minorHAnsi"/>
                <w:bCs/>
              </w:rPr>
              <w:t>.</w:t>
            </w:r>
          </w:p>
        </w:tc>
      </w:tr>
    </w:tbl>
    <w:p w14:paraId="0CABCFFE" w14:textId="492248AE" w:rsidR="00001D73" w:rsidRDefault="00001D73" w:rsidP="00092566">
      <w:pPr>
        <w:autoSpaceDE w:val="0"/>
        <w:autoSpaceDN w:val="0"/>
        <w:adjustRightInd w:val="0"/>
        <w:spacing w:after="0" w:line="240" w:lineRule="auto"/>
        <w:rPr>
          <w:rFonts w:cstheme="minorHAnsi"/>
          <w:b/>
          <w:bCs/>
        </w:rPr>
      </w:pPr>
    </w:p>
    <w:p w14:paraId="1C2E3E1A" w14:textId="5426644D" w:rsidR="00B01A29"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B01A29">
        <w:rPr>
          <w:rFonts w:cstheme="minorHAnsi"/>
          <w:bCs/>
        </w:rPr>
        <w:t>:</w:t>
      </w:r>
    </w:p>
    <w:tbl>
      <w:tblPr>
        <w:tblStyle w:val="TableGrid"/>
        <w:tblW w:w="0" w:type="auto"/>
        <w:tblLook w:val="04A0" w:firstRow="1" w:lastRow="0" w:firstColumn="1" w:lastColumn="0" w:noHBand="0" w:noVBand="1"/>
      </w:tblPr>
      <w:tblGrid>
        <w:gridCol w:w="9350"/>
      </w:tblGrid>
      <w:tr w:rsidR="00B01A29" w14:paraId="70F26654" w14:textId="77777777" w:rsidTr="00062A58">
        <w:tc>
          <w:tcPr>
            <w:tcW w:w="9350" w:type="dxa"/>
          </w:tcPr>
          <w:p w14:paraId="35113A32" w14:textId="39216130" w:rsidR="00B01A29" w:rsidRDefault="00586D8D" w:rsidP="00FD0A2A">
            <w:pPr>
              <w:autoSpaceDE w:val="0"/>
              <w:autoSpaceDN w:val="0"/>
              <w:adjustRightInd w:val="0"/>
              <w:rPr>
                <w:rFonts w:cstheme="minorHAnsi"/>
                <w:bCs/>
              </w:rPr>
            </w:pPr>
            <w:r>
              <w:rPr>
                <w:rFonts w:cstheme="minorHAnsi"/>
                <w:bCs/>
              </w:rPr>
              <w:t>Fi</w:t>
            </w:r>
            <w:r w:rsidR="00DC29DE">
              <w:rPr>
                <w:rFonts w:cstheme="minorHAnsi"/>
                <w:bCs/>
              </w:rPr>
              <w:t>g</w:t>
            </w:r>
            <w:r w:rsidR="008C19CC">
              <w:rPr>
                <w:rFonts w:cstheme="minorHAnsi"/>
                <w:bCs/>
              </w:rPr>
              <w:t xml:space="preserve">ure </w:t>
            </w:r>
            <w:r w:rsidR="00FD0A2A">
              <w:rPr>
                <w:rFonts w:cstheme="minorHAnsi"/>
                <w:bCs/>
              </w:rPr>
              <w:t>5</w:t>
            </w:r>
            <w:r>
              <w:rPr>
                <w:rFonts w:cstheme="minorHAnsi"/>
                <w:bCs/>
              </w:rPr>
              <w:t xml:space="preserve"> </w:t>
            </w:r>
            <w:r w:rsidR="00B333FB">
              <w:rPr>
                <w:rFonts w:cstheme="minorHAnsi"/>
                <w:bCs/>
              </w:rPr>
              <w:t xml:space="preserve">plots </w:t>
            </w:r>
            <w:r>
              <w:rPr>
                <w:rFonts w:cstheme="minorHAnsi"/>
                <w:bCs/>
              </w:rPr>
              <w:t>risk decile</w:t>
            </w:r>
            <w:r w:rsidR="00B333FB">
              <w:rPr>
                <w:rFonts w:cstheme="minorHAnsi"/>
                <w:bCs/>
              </w:rPr>
              <w:t>s</w:t>
            </w:r>
            <w:r>
              <w:rPr>
                <w:rFonts w:cstheme="minorHAnsi"/>
                <w:bCs/>
              </w:rPr>
              <w:t xml:space="preserve"> for the </w:t>
            </w:r>
            <w:r w:rsidRPr="000C4B23">
              <w:rPr>
                <w:rFonts w:cstheme="minorHAnsi"/>
                <w:b/>
                <w:bCs/>
              </w:rPr>
              <w:t>Development Dataset</w:t>
            </w:r>
            <w:r>
              <w:rPr>
                <w:rFonts w:cstheme="minorHAnsi"/>
                <w:bCs/>
              </w:rPr>
              <w:t xml:space="preserve">; </w:t>
            </w:r>
            <w:r w:rsidR="008C19CC">
              <w:rPr>
                <w:rFonts w:cstheme="minorHAnsi"/>
                <w:bCs/>
              </w:rPr>
              <w:t xml:space="preserve">Figure </w:t>
            </w:r>
            <w:r w:rsidR="00FD0A2A">
              <w:rPr>
                <w:rFonts w:cstheme="minorHAnsi"/>
                <w:bCs/>
              </w:rPr>
              <w:t>6</w:t>
            </w:r>
            <w:r>
              <w:rPr>
                <w:rFonts w:cstheme="minorHAnsi"/>
                <w:bCs/>
              </w:rPr>
              <w:t xml:space="preserve"> </w:t>
            </w:r>
            <w:r w:rsidR="00B333FB">
              <w:rPr>
                <w:rFonts w:cstheme="minorHAnsi"/>
                <w:bCs/>
              </w:rPr>
              <w:t>plots</w:t>
            </w:r>
            <w:r>
              <w:rPr>
                <w:rFonts w:cstheme="minorHAnsi"/>
                <w:bCs/>
              </w:rPr>
              <w:t xml:space="preserve"> risk decile</w:t>
            </w:r>
            <w:r w:rsidR="00B333FB">
              <w:rPr>
                <w:rFonts w:cstheme="minorHAnsi"/>
                <w:bCs/>
              </w:rPr>
              <w:t>s</w:t>
            </w:r>
            <w:r>
              <w:rPr>
                <w:rFonts w:cstheme="minorHAnsi"/>
                <w:bCs/>
              </w:rPr>
              <w:t xml:space="preserve"> for the </w:t>
            </w:r>
            <w:r w:rsidRPr="000C4B23">
              <w:rPr>
                <w:rFonts w:cstheme="minorHAnsi"/>
                <w:b/>
                <w:bCs/>
              </w:rPr>
              <w:t>Validation Dataset</w:t>
            </w:r>
            <w:r>
              <w:rPr>
                <w:rFonts w:cstheme="minorHAnsi"/>
                <w:bCs/>
              </w:rPr>
              <w:t>.</w:t>
            </w:r>
          </w:p>
        </w:tc>
      </w:tr>
    </w:tbl>
    <w:p w14:paraId="0BB8F715" w14:textId="77777777" w:rsidR="00414500" w:rsidRDefault="00414500" w:rsidP="00414500">
      <w:pPr>
        <w:pStyle w:val="Caption"/>
        <w:jc w:val="left"/>
        <w:rPr>
          <w:szCs w:val="22"/>
        </w:rPr>
      </w:pPr>
    </w:p>
    <w:p w14:paraId="4DB95FA7" w14:textId="77777777" w:rsidR="00645F96" w:rsidRDefault="00645F96" w:rsidP="00092566">
      <w:pPr>
        <w:autoSpaceDE w:val="0"/>
        <w:autoSpaceDN w:val="0"/>
        <w:adjustRightInd w:val="0"/>
        <w:spacing w:after="0" w:line="240" w:lineRule="auto"/>
        <w:rPr>
          <w:rFonts w:cstheme="minorHAnsi"/>
          <w:b/>
        </w:rPr>
      </w:pPr>
    </w:p>
    <w:p w14:paraId="5B97648E" w14:textId="77777777" w:rsidR="00645F96" w:rsidRDefault="00645F96" w:rsidP="00092566">
      <w:pPr>
        <w:autoSpaceDE w:val="0"/>
        <w:autoSpaceDN w:val="0"/>
        <w:adjustRightInd w:val="0"/>
        <w:spacing w:after="0" w:line="240" w:lineRule="auto"/>
        <w:rPr>
          <w:rFonts w:cstheme="minorHAnsi"/>
          <w:b/>
        </w:rPr>
      </w:pPr>
    </w:p>
    <w:p w14:paraId="59F98216" w14:textId="16E11367" w:rsidR="00645F96" w:rsidRDefault="00645F96" w:rsidP="00092566">
      <w:pPr>
        <w:autoSpaceDE w:val="0"/>
        <w:autoSpaceDN w:val="0"/>
        <w:adjustRightInd w:val="0"/>
        <w:spacing w:after="0" w:line="240" w:lineRule="auto"/>
        <w:rPr>
          <w:rFonts w:cstheme="minorHAnsi"/>
          <w:b/>
        </w:rPr>
      </w:pPr>
    </w:p>
    <w:p w14:paraId="0081603C" w14:textId="77777777" w:rsidR="00645F96" w:rsidRDefault="00645F96" w:rsidP="00092566">
      <w:pPr>
        <w:autoSpaceDE w:val="0"/>
        <w:autoSpaceDN w:val="0"/>
        <w:adjustRightInd w:val="0"/>
        <w:spacing w:after="0" w:line="240" w:lineRule="auto"/>
        <w:rPr>
          <w:rFonts w:cstheme="minorHAnsi"/>
          <w:b/>
        </w:rPr>
      </w:pPr>
    </w:p>
    <w:p w14:paraId="5400726A" w14:textId="64B28C2C" w:rsidR="00645F96" w:rsidRPr="006E4816" w:rsidRDefault="00AD7989" w:rsidP="006E4816">
      <w:pPr>
        <w:pStyle w:val="Caption"/>
        <w:jc w:val="left"/>
        <w:rPr>
          <w:szCs w:val="22"/>
        </w:rPr>
      </w:pPr>
      <w:r>
        <w:rPr>
          <w:noProof/>
        </w:rPr>
        <w:drawing>
          <wp:inline distT="0" distB="0" distL="0" distR="0" wp14:anchorId="27206EE8" wp14:editId="7A19D4A0">
            <wp:extent cx="5895976" cy="3267075"/>
            <wp:effectExtent l="0" t="0" r="9525" b="9525"/>
            <wp:docPr id="4" name="Chart 4">
              <a:extLst xmlns:a="http://schemas.openxmlformats.org/drawingml/2006/main">
                <a:ext uri="{FF2B5EF4-FFF2-40B4-BE49-F238E27FC236}">
                  <a16:creationId xmlns:a16="http://schemas.microsoft.com/office/drawing/2014/main" id="{5993E4E2-FECD-4DF9-BA3C-61BA0A254C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321FFB" w14:textId="77777777" w:rsidR="00645F96" w:rsidRDefault="00645F96" w:rsidP="00092566">
      <w:pPr>
        <w:autoSpaceDE w:val="0"/>
        <w:autoSpaceDN w:val="0"/>
        <w:adjustRightInd w:val="0"/>
        <w:spacing w:after="0" w:line="240" w:lineRule="auto"/>
        <w:rPr>
          <w:rFonts w:cstheme="minorHAnsi"/>
          <w:b/>
        </w:rPr>
      </w:pPr>
    </w:p>
    <w:p w14:paraId="0E01A100" w14:textId="7769050C" w:rsidR="00645F96" w:rsidRPr="0029456E" w:rsidRDefault="00AD7989" w:rsidP="0029456E">
      <w:pPr>
        <w:pStyle w:val="Caption"/>
        <w:jc w:val="left"/>
        <w:rPr>
          <w:noProof/>
        </w:rPr>
      </w:pPr>
      <w:r>
        <w:rPr>
          <w:noProof/>
        </w:rPr>
        <w:drawing>
          <wp:inline distT="0" distB="0" distL="0" distR="0" wp14:anchorId="12F38909" wp14:editId="58B9CFE7">
            <wp:extent cx="5895976" cy="3581400"/>
            <wp:effectExtent l="0" t="0" r="9525" b="0"/>
            <wp:docPr id="5" name="Chart 5">
              <a:extLst xmlns:a="http://schemas.openxmlformats.org/drawingml/2006/main">
                <a:ext uri="{FF2B5EF4-FFF2-40B4-BE49-F238E27FC236}">
                  <a16:creationId xmlns:a16="http://schemas.microsoft.com/office/drawing/2014/main" id="{C407D610-46E0-494A-BD52-53906FC36A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F7F7A38" w14:textId="1DA303E6" w:rsidR="00645F96" w:rsidRDefault="00645F96" w:rsidP="00092566">
      <w:pPr>
        <w:autoSpaceDE w:val="0"/>
        <w:autoSpaceDN w:val="0"/>
        <w:adjustRightInd w:val="0"/>
        <w:spacing w:after="0" w:line="240" w:lineRule="auto"/>
        <w:rPr>
          <w:rFonts w:cstheme="minorHAnsi"/>
          <w:b/>
        </w:rPr>
      </w:pPr>
    </w:p>
    <w:p w14:paraId="0880B3B4" w14:textId="5EA9549C" w:rsidR="00645F96" w:rsidRDefault="00645F96" w:rsidP="00092566">
      <w:pPr>
        <w:autoSpaceDE w:val="0"/>
        <w:autoSpaceDN w:val="0"/>
        <w:adjustRightInd w:val="0"/>
        <w:spacing w:after="0" w:line="240" w:lineRule="auto"/>
        <w:rPr>
          <w:rFonts w:cstheme="minorHAnsi"/>
          <w:b/>
        </w:rPr>
      </w:pPr>
    </w:p>
    <w:p w14:paraId="211FC841" w14:textId="6BA6DE2B" w:rsidR="006E4816" w:rsidRDefault="006E4816" w:rsidP="00092566">
      <w:pPr>
        <w:autoSpaceDE w:val="0"/>
        <w:autoSpaceDN w:val="0"/>
        <w:adjustRightInd w:val="0"/>
        <w:spacing w:after="0" w:line="240" w:lineRule="auto"/>
        <w:rPr>
          <w:rFonts w:cstheme="minorHAnsi"/>
          <w:b/>
        </w:rPr>
      </w:pPr>
    </w:p>
    <w:p w14:paraId="7BA5FF18" w14:textId="39D6A41C" w:rsidR="006E4816" w:rsidRDefault="006E4816" w:rsidP="00092566">
      <w:pPr>
        <w:autoSpaceDE w:val="0"/>
        <w:autoSpaceDN w:val="0"/>
        <w:adjustRightInd w:val="0"/>
        <w:spacing w:after="0" w:line="240" w:lineRule="auto"/>
        <w:rPr>
          <w:rFonts w:cstheme="minorHAnsi"/>
          <w:b/>
        </w:rPr>
      </w:pPr>
    </w:p>
    <w:p w14:paraId="7A62A5A1" w14:textId="77777777" w:rsidR="006E4816" w:rsidRDefault="006E481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tbl>
      <w:tblPr>
        <w:tblStyle w:val="TableGrid"/>
        <w:tblW w:w="0" w:type="auto"/>
        <w:tblLook w:val="04A0" w:firstRow="1" w:lastRow="0" w:firstColumn="1" w:lastColumn="0" w:noHBand="0" w:noVBand="1"/>
      </w:tblPr>
      <w:tblGrid>
        <w:gridCol w:w="9350"/>
      </w:tblGrid>
      <w:tr w:rsidR="00B01A29" w14:paraId="4D4C37FC" w14:textId="77777777" w:rsidTr="00062A58">
        <w:tc>
          <w:tcPr>
            <w:tcW w:w="9350" w:type="dxa"/>
          </w:tcPr>
          <w:p w14:paraId="3105F9C8" w14:textId="4E314ACF" w:rsidR="00B01A29" w:rsidRDefault="00C97BC2" w:rsidP="00C97BC2">
            <w:pPr>
              <w:autoSpaceDE w:val="0"/>
              <w:autoSpaceDN w:val="0"/>
              <w:adjustRightInd w:val="0"/>
              <w:rPr>
                <w:rFonts w:cstheme="minorHAnsi"/>
                <w:bCs/>
              </w:rPr>
            </w:pPr>
            <w:r>
              <w:rPr>
                <w:rFonts w:cstheme="minorHAnsi"/>
                <w:bCs/>
              </w:rPr>
              <w:t>N/A</w:t>
            </w:r>
          </w:p>
        </w:tc>
      </w:tr>
    </w:tbl>
    <w:p w14:paraId="0CABD001" w14:textId="77777777" w:rsidR="00092566" w:rsidRPr="00B01A29" w:rsidRDefault="00092566" w:rsidP="00B01A29">
      <w:pPr>
        <w:rPr>
          <w:rFonts w:cstheme="minorHAnsi"/>
          <w:bCs/>
        </w:rPr>
      </w:pPr>
    </w:p>
    <w:p w14:paraId="14E3FA1F" w14:textId="77777777" w:rsidR="00394224"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tbl>
      <w:tblPr>
        <w:tblStyle w:val="TableGrid"/>
        <w:tblW w:w="0" w:type="auto"/>
        <w:tblLook w:val="04A0" w:firstRow="1" w:lastRow="0" w:firstColumn="1" w:lastColumn="0" w:noHBand="0" w:noVBand="1"/>
      </w:tblPr>
      <w:tblGrid>
        <w:gridCol w:w="9350"/>
      </w:tblGrid>
      <w:tr w:rsidR="00394224" w14:paraId="4202F038" w14:textId="77777777" w:rsidTr="00062A58">
        <w:tc>
          <w:tcPr>
            <w:tcW w:w="9350" w:type="dxa"/>
          </w:tcPr>
          <w:p w14:paraId="4FBCC821" w14:textId="6BAD1575" w:rsidR="0082089F" w:rsidRDefault="0082089F" w:rsidP="000C4B23">
            <w:pPr>
              <w:pBdr>
                <w:top w:val="single" w:sz="4" w:space="1" w:color="auto"/>
                <w:left w:val="single" w:sz="4" w:space="4" w:color="auto"/>
                <w:bottom w:val="single" w:sz="4" w:space="1" w:color="auto"/>
                <w:right w:val="single" w:sz="4" w:space="4" w:color="auto"/>
              </w:pBdr>
              <w:rPr>
                <w:rFonts w:cstheme="minorHAnsi"/>
                <w:bCs/>
              </w:rPr>
            </w:pPr>
            <w:r>
              <w:rPr>
                <w:rFonts w:cstheme="minorHAnsi"/>
                <w:bCs/>
              </w:rPr>
              <w:t>The following results demonstrate that the risk-adjustment model adequately controls for differences in patient characteristics:</w:t>
            </w:r>
          </w:p>
          <w:p w14:paraId="185686DD" w14:textId="77777777" w:rsidR="0082089F"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p>
          <w:p w14:paraId="4A807CD7" w14:textId="77777777" w:rsidR="0082089F" w:rsidRPr="004F13BC"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r w:rsidRPr="004F13BC">
              <w:rPr>
                <w:rFonts w:cstheme="minorHAnsi"/>
                <w:bCs/>
                <w:u w:val="single"/>
              </w:rPr>
              <w:t>Discrimination statistics</w:t>
            </w:r>
          </w:p>
          <w:p w14:paraId="3E42128E" w14:textId="1142E570" w:rsidR="0082089F" w:rsidRPr="004F13BC" w:rsidRDefault="0082089F" w:rsidP="000C4B23">
            <w:pPr>
              <w:pBdr>
                <w:top w:val="single" w:sz="4" w:space="1" w:color="auto"/>
                <w:left w:val="single" w:sz="4" w:space="4" w:color="auto"/>
                <w:bottom w:val="single" w:sz="4" w:space="1" w:color="auto"/>
                <w:right w:val="single" w:sz="4" w:space="4" w:color="auto"/>
              </w:pBdr>
              <w:rPr>
                <w:rFonts w:cstheme="minorHAnsi"/>
                <w:bCs/>
              </w:rPr>
            </w:pPr>
            <w:r w:rsidRPr="004F13BC">
              <w:rPr>
                <w:rFonts w:cstheme="minorHAnsi"/>
                <w:bCs/>
              </w:rPr>
              <w:t>The calculated c-statistic was 0.6</w:t>
            </w:r>
            <w:r w:rsidR="004F13BC" w:rsidRPr="004F13BC">
              <w:rPr>
                <w:rFonts w:cstheme="minorHAnsi"/>
                <w:bCs/>
              </w:rPr>
              <w:t>8</w:t>
            </w:r>
            <w:r w:rsidRPr="004F13BC">
              <w:rPr>
                <w:rFonts w:cstheme="minorHAnsi"/>
                <w:bCs/>
              </w:rPr>
              <w:t xml:space="preserve"> </w:t>
            </w:r>
            <w:r w:rsidR="004F13BC" w:rsidRPr="004F13BC">
              <w:rPr>
                <w:rFonts w:cstheme="minorHAnsi"/>
                <w:bCs/>
              </w:rPr>
              <w:t xml:space="preserve">using the </w:t>
            </w:r>
            <w:r w:rsidRPr="0082144F">
              <w:rPr>
                <w:rFonts w:cstheme="minorHAnsi"/>
                <w:b/>
                <w:bCs/>
              </w:rPr>
              <w:t xml:space="preserve">Development </w:t>
            </w:r>
            <w:r w:rsidR="004F13BC" w:rsidRPr="0082144F">
              <w:rPr>
                <w:rFonts w:cstheme="minorHAnsi"/>
                <w:b/>
                <w:bCs/>
              </w:rPr>
              <w:t>Dataset</w:t>
            </w:r>
            <w:r w:rsidR="004F13BC" w:rsidRPr="004F13BC">
              <w:rPr>
                <w:rFonts w:cstheme="minorHAnsi"/>
                <w:bCs/>
              </w:rPr>
              <w:t xml:space="preserve"> </w:t>
            </w:r>
            <w:r w:rsidRPr="004F13BC">
              <w:rPr>
                <w:rFonts w:cstheme="minorHAnsi"/>
                <w:bCs/>
              </w:rPr>
              <w:t xml:space="preserve">and </w:t>
            </w:r>
            <w:r w:rsidR="004F13BC" w:rsidRPr="004F13BC">
              <w:rPr>
                <w:rFonts w:cstheme="minorHAnsi"/>
                <w:bCs/>
              </w:rPr>
              <w:t xml:space="preserve">0.69 using the </w:t>
            </w:r>
            <w:r w:rsidR="00CD68CC" w:rsidRPr="0082144F">
              <w:rPr>
                <w:rFonts w:eastAsia="Times New Roman" w:cs="Arial"/>
                <w:b/>
                <w:bCs/>
                <w:color w:val="000000"/>
                <w:lang w:eastAsia="zh-CN"/>
              </w:rPr>
              <w:t>Validation</w:t>
            </w:r>
            <w:r w:rsidRPr="0082144F">
              <w:rPr>
                <w:rFonts w:eastAsia="Times New Roman" w:cs="Arial"/>
                <w:b/>
                <w:bCs/>
                <w:color w:val="000000"/>
                <w:lang w:eastAsia="zh-CN"/>
              </w:rPr>
              <w:t xml:space="preserve"> Dataset</w:t>
            </w:r>
            <w:r w:rsidRPr="0082144F">
              <w:rPr>
                <w:rFonts w:cstheme="minorHAnsi"/>
                <w:b/>
                <w:bCs/>
              </w:rPr>
              <w:t xml:space="preserve"> </w:t>
            </w:r>
            <w:r w:rsidR="00134B6E">
              <w:rPr>
                <w:rFonts w:cstheme="minorHAnsi"/>
                <w:bCs/>
              </w:rPr>
              <w:t>and indicates adequate</w:t>
            </w:r>
            <w:r w:rsidRPr="004F13BC">
              <w:rPr>
                <w:rFonts w:cstheme="minorHAnsi"/>
                <w:bCs/>
              </w:rPr>
              <w:t xml:space="preserve"> model discrimination across the cohort models. </w:t>
            </w:r>
            <w:r w:rsidR="004F13BC" w:rsidRPr="004F13BC">
              <w:rPr>
                <w:rFonts w:cstheme="minorHAnsi"/>
                <w:bCs/>
              </w:rPr>
              <w:t xml:space="preserve">With both the </w:t>
            </w:r>
            <w:r w:rsidR="004F13BC" w:rsidRPr="0082144F">
              <w:rPr>
                <w:rFonts w:cstheme="minorHAnsi"/>
                <w:b/>
                <w:bCs/>
              </w:rPr>
              <w:t>Development</w:t>
            </w:r>
            <w:r w:rsidR="004F13BC" w:rsidRPr="004F13BC">
              <w:rPr>
                <w:rFonts w:cstheme="minorHAnsi"/>
                <w:bCs/>
              </w:rPr>
              <w:t xml:space="preserve"> and </w:t>
            </w:r>
            <w:r w:rsidR="004F13BC" w:rsidRPr="0082144F">
              <w:rPr>
                <w:rFonts w:cstheme="minorHAnsi"/>
                <w:b/>
                <w:bCs/>
              </w:rPr>
              <w:t>Validation Datasets</w:t>
            </w:r>
            <w:r w:rsidR="004F13BC" w:rsidRPr="004F13BC">
              <w:rPr>
                <w:rFonts w:cstheme="minorHAnsi"/>
                <w:bCs/>
              </w:rPr>
              <w:t>, t</w:t>
            </w:r>
            <w:r w:rsidRPr="004F13BC">
              <w:rPr>
                <w:rFonts w:cstheme="minorHAnsi"/>
                <w:bCs/>
              </w:rPr>
              <w:t>he model indicated a wide range between the lowest decile and highest decile, indicating the ability to distinguish high-risk subjects from low-risk subjects.</w:t>
            </w:r>
          </w:p>
          <w:p w14:paraId="07CEB23F" w14:textId="77777777" w:rsidR="0082089F"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p>
          <w:p w14:paraId="1F98DA81" w14:textId="61A76A23" w:rsidR="0082089F" w:rsidRPr="00627F38"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r w:rsidRPr="00627F38">
              <w:rPr>
                <w:rFonts w:cstheme="minorHAnsi"/>
                <w:bCs/>
                <w:u w:val="single"/>
              </w:rPr>
              <w:t>Calibration statistics (γ0, γ1)</w:t>
            </w:r>
          </w:p>
          <w:p w14:paraId="4B047D67" w14:textId="6D0457FF"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rPr>
            </w:pPr>
            <w:r w:rsidRPr="003F3587">
              <w:rPr>
                <w:rFonts w:cstheme="minorHAnsi"/>
                <w:bCs/>
              </w:rPr>
              <w:t xml:space="preserve">The calibration values which are consistently close to 0 at one end and close to 1 </w:t>
            </w:r>
            <w:r w:rsidR="00DD5C8D" w:rsidRPr="003F3587">
              <w:rPr>
                <w:rFonts w:cstheme="minorHAnsi"/>
                <w:bCs/>
              </w:rPr>
              <w:t>at</w:t>
            </w:r>
            <w:r w:rsidRPr="003F3587">
              <w:rPr>
                <w:rFonts w:cstheme="minorHAnsi"/>
                <w:bCs/>
              </w:rPr>
              <w:t xml:space="preserve"> the other end indicates good calibration of the model. If the γ0 in the </w:t>
            </w:r>
            <w:r w:rsidR="004F13BC" w:rsidRPr="003F3587">
              <w:rPr>
                <w:rFonts w:cstheme="minorHAnsi"/>
                <w:bCs/>
              </w:rPr>
              <w:t>model performance using V</w:t>
            </w:r>
            <w:r w:rsidRPr="003F3587">
              <w:rPr>
                <w:rFonts w:cstheme="minorHAnsi"/>
                <w:bCs/>
              </w:rPr>
              <w:t xml:space="preserve">alidation </w:t>
            </w:r>
            <w:r w:rsidR="004F13BC" w:rsidRPr="003F3587">
              <w:rPr>
                <w:rFonts w:cstheme="minorHAnsi"/>
                <w:bCs/>
              </w:rPr>
              <w:t>data is</w:t>
            </w:r>
            <w:r w:rsidRPr="003F3587">
              <w:rPr>
                <w:rFonts w:cstheme="minorHAnsi"/>
                <w:bCs/>
              </w:rPr>
              <w:t xml:space="preserve"> substantially far from zero and the γ1 is substantially far from 1, there is potential evidence of over-fitting. The calibration values of close to zero at one end and close to 1 on the other end indicates good calibration of the model between the </w:t>
            </w:r>
            <w:r w:rsidRPr="0082144F">
              <w:rPr>
                <w:rFonts w:cstheme="minorHAnsi"/>
                <w:b/>
                <w:bCs/>
              </w:rPr>
              <w:t>Development</w:t>
            </w:r>
            <w:r w:rsidRPr="003F3587">
              <w:rPr>
                <w:rFonts w:cstheme="minorHAnsi"/>
                <w:bCs/>
              </w:rPr>
              <w:t xml:space="preserve"> and </w:t>
            </w:r>
            <w:r w:rsidR="00CD68CC" w:rsidRPr="0082144F">
              <w:rPr>
                <w:rFonts w:cstheme="minorHAnsi"/>
                <w:b/>
                <w:bCs/>
              </w:rPr>
              <w:t>Validation</w:t>
            </w:r>
            <w:r w:rsidRPr="0082144F">
              <w:rPr>
                <w:rFonts w:cstheme="minorHAnsi"/>
                <w:b/>
                <w:bCs/>
              </w:rPr>
              <w:t xml:space="preserve"> Dataset</w:t>
            </w:r>
            <w:r w:rsidR="004F13BC" w:rsidRPr="0082144F">
              <w:rPr>
                <w:rFonts w:cstheme="minorHAnsi"/>
                <w:b/>
                <w:bCs/>
              </w:rPr>
              <w:t>s</w:t>
            </w:r>
            <w:r w:rsidRPr="003F3587">
              <w:rPr>
                <w:rFonts w:cstheme="minorHAnsi"/>
                <w:bCs/>
              </w:rPr>
              <w:t>.</w:t>
            </w:r>
          </w:p>
          <w:p w14:paraId="064BA3F3" w14:textId="77777777"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rPr>
            </w:pPr>
          </w:p>
          <w:p w14:paraId="1EDD585A" w14:textId="77777777"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r w:rsidRPr="003F3587">
              <w:rPr>
                <w:rFonts w:cstheme="minorHAnsi"/>
                <w:bCs/>
                <w:u w:val="single"/>
              </w:rPr>
              <w:t>Risk Decile Plots</w:t>
            </w:r>
          </w:p>
          <w:p w14:paraId="2C933B94" w14:textId="5ED9E5EA"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rPr>
            </w:pPr>
            <w:r w:rsidRPr="003F3587">
              <w:rPr>
                <w:rFonts w:cstheme="minorHAnsi"/>
                <w:bCs/>
              </w:rPr>
              <w:t>Higher deciles of the predicted outcomes are associated with higher observed outcomes, which show a good calibration of the model. This plot indicates good discrimination of the model and good predictive ability.</w:t>
            </w:r>
          </w:p>
          <w:p w14:paraId="2761702A" w14:textId="77777777"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rPr>
            </w:pPr>
          </w:p>
          <w:p w14:paraId="6018B51A" w14:textId="77777777" w:rsidR="0082089F" w:rsidRPr="003F3587" w:rsidRDefault="0082089F" w:rsidP="000C4B23">
            <w:pPr>
              <w:pBdr>
                <w:top w:val="single" w:sz="4" w:space="1" w:color="auto"/>
                <w:left w:val="single" w:sz="4" w:space="4" w:color="auto"/>
                <w:bottom w:val="single" w:sz="4" w:space="1" w:color="auto"/>
                <w:right w:val="single" w:sz="4" w:space="4" w:color="auto"/>
              </w:pBdr>
              <w:rPr>
                <w:rFonts w:cstheme="minorHAnsi"/>
                <w:bCs/>
                <w:u w:val="single"/>
              </w:rPr>
            </w:pPr>
            <w:r w:rsidRPr="003F3587">
              <w:rPr>
                <w:rFonts w:cstheme="minorHAnsi"/>
                <w:bCs/>
                <w:u w:val="single"/>
              </w:rPr>
              <w:t>Overall Interpretation</w:t>
            </w:r>
          </w:p>
          <w:p w14:paraId="2EE888FA" w14:textId="1C4C3C4C" w:rsidR="0082089F" w:rsidRPr="00627F38" w:rsidRDefault="0082089F" w:rsidP="000C4B23">
            <w:pPr>
              <w:pBdr>
                <w:top w:val="single" w:sz="4" w:space="1" w:color="auto"/>
                <w:left w:val="single" w:sz="4" w:space="4" w:color="auto"/>
                <w:bottom w:val="single" w:sz="4" w:space="1" w:color="auto"/>
                <w:right w:val="single" w:sz="4" w:space="4" w:color="auto"/>
              </w:pBdr>
              <w:rPr>
                <w:rFonts w:cstheme="minorHAnsi"/>
                <w:bCs/>
              </w:rPr>
            </w:pPr>
            <w:r w:rsidRPr="003F3587">
              <w:rPr>
                <w:rFonts w:cstheme="minorHAnsi"/>
                <w:bCs/>
              </w:rPr>
              <w:t>Interpreted together, our diagnostic results demonstrate that the risk-adjustment model adequately</w:t>
            </w:r>
            <w:r w:rsidRPr="00627F38">
              <w:rPr>
                <w:rFonts w:cstheme="minorHAnsi"/>
                <w:bCs/>
              </w:rPr>
              <w:t xml:space="preserve"> controls for differences in patient characteristics (case mix)</w:t>
            </w:r>
            <w:r w:rsidR="00AB7307" w:rsidRPr="00627F38">
              <w:rPr>
                <w:rFonts w:cstheme="minorHAnsi"/>
                <w:bCs/>
              </w:rPr>
              <w:t xml:space="preserve"> and bias due to non-response</w:t>
            </w:r>
            <w:r w:rsidRPr="00627F38">
              <w:rPr>
                <w:rFonts w:cstheme="minorHAnsi"/>
                <w:bCs/>
              </w:rPr>
              <w:t>.</w:t>
            </w:r>
          </w:p>
          <w:p w14:paraId="08FF378E" w14:textId="18C73FB8" w:rsidR="0082089F" w:rsidRPr="00D937E2" w:rsidRDefault="0082089F" w:rsidP="005B563D">
            <w:pPr>
              <w:rPr>
                <w:szCs w:val="24"/>
              </w:rPr>
            </w:pPr>
          </w:p>
        </w:tc>
      </w:tr>
    </w:tbl>
    <w:p w14:paraId="0CABD002" w14:textId="2B05B455" w:rsidR="00092566" w:rsidRPr="00A25024" w:rsidRDefault="00092566"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704059">
        <w:rPr>
          <w:rFonts w:cstheme="minorHAnsi"/>
          <w:b/>
        </w:rPr>
        <w:t>2b3</w:t>
      </w:r>
      <w:r w:rsidR="009B1A15" w:rsidRPr="00704059">
        <w:rPr>
          <w:rFonts w:cstheme="minorHAnsi"/>
          <w:b/>
        </w:rPr>
        <w:t>.11.</w:t>
      </w:r>
      <w:r w:rsidR="009B1A15" w:rsidRPr="00704059">
        <w:rPr>
          <w:rFonts w:cstheme="minorHAnsi"/>
        </w:rPr>
        <w:t xml:space="preserve"> </w:t>
      </w:r>
      <w:r w:rsidR="00092566" w:rsidRPr="00704059">
        <w:rPr>
          <w:rFonts w:cstheme="minorHAnsi"/>
          <w:b/>
        </w:rPr>
        <w:t>Optional</w:t>
      </w:r>
      <w:r w:rsidR="009B1A15" w:rsidRPr="00704059">
        <w:rPr>
          <w:rFonts w:cstheme="minorHAnsi"/>
          <w:b/>
        </w:rPr>
        <w:t xml:space="preserve"> Additional Testing</w:t>
      </w:r>
      <w:r w:rsidR="004756E1" w:rsidRPr="00704059">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tbl>
      <w:tblPr>
        <w:tblStyle w:val="TableGrid"/>
        <w:tblW w:w="0" w:type="auto"/>
        <w:tblLook w:val="04A0" w:firstRow="1" w:lastRow="0" w:firstColumn="1" w:lastColumn="0" w:noHBand="0" w:noVBand="1"/>
      </w:tblPr>
      <w:tblGrid>
        <w:gridCol w:w="9350"/>
      </w:tblGrid>
      <w:tr w:rsidR="00394224" w14:paraId="56672D5C" w14:textId="77777777" w:rsidTr="00062A58">
        <w:tc>
          <w:tcPr>
            <w:tcW w:w="9350" w:type="dxa"/>
          </w:tcPr>
          <w:p w14:paraId="5537BD54" w14:textId="0D0E8E2D" w:rsidR="00394224" w:rsidRDefault="00C97BC2" w:rsidP="00062A58">
            <w:pPr>
              <w:autoSpaceDE w:val="0"/>
              <w:autoSpaceDN w:val="0"/>
              <w:adjustRightInd w:val="0"/>
              <w:rPr>
                <w:rFonts w:cstheme="minorHAnsi"/>
                <w:bCs/>
              </w:rPr>
            </w:pPr>
            <w:r>
              <w:rPr>
                <w:rFonts w:cstheme="minorHAnsi"/>
                <w:bCs/>
              </w:rPr>
              <w:t>N/A</w:t>
            </w:r>
          </w:p>
        </w:tc>
      </w:tr>
    </w:tbl>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2932AE39" w14:textId="589767DF" w:rsidR="00394224"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rPr>
        <w:lastRenderedPageBreak/>
        <w:t>(</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tbl>
      <w:tblPr>
        <w:tblStyle w:val="TableGrid"/>
        <w:tblW w:w="0" w:type="auto"/>
        <w:tblLook w:val="04A0" w:firstRow="1" w:lastRow="0" w:firstColumn="1" w:lastColumn="0" w:noHBand="0" w:noVBand="1"/>
      </w:tblPr>
      <w:tblGrid>
        <w:gridCol w:w="9350"/>
      </w:tblGrid>
      <w:tr w:rsidR="00665D00" w14:paraId="1DC488D6" w14:textId="77777777" w:rsidTr="00665D00">
        <w:tc>
          <w:tcPr>
            <w:tcW w:w="9350" w:type="dxa"/>
          </w:tcPr>
          <w:p w14:paraId="380BAC21" w14:textId="1440E14D" w:rsidR="00665D00" w:rsidRDefault="00665D00" w:rsidP="00665D00">
            <w:r>
              <w:rPr>
                <w:rFonts w:cstheme="minorHAnsi"/>
                <w:bCs/>
              </w:rPr>
              <w:t xml:space="preserve">Meaningful differences in performance measure scores are </w:t>
            </w:r>
            <w:r w:rsidR="00584805">
              <w:rPr>
                <w:rFonts w:cstheme="minorHAnsi"/>
                <w:bCs/>
              </w:rPr>
              <w:t xml:space="preserve">assessed </w:t>
            </w:r>
            <w:r>
              <w:rPr>
                <w:rFonts w:cstheme="minorHAnsi"/>
                <w:bCs/>
              </w:rPr>
              <w:t xml:space="preserve">by </w:t>
            </w:r>
            <w:r w:rsidR="00584805">
              <w:rPr>
                <w:rFonts w:cstheme="minorHAnsi"/>
                <w:bCs/>
              </w:rPr>
              <w:t xml:space="preserve">calculating </w:t>
            </w:r>
            <w:r>
              <w:rPr>
                <w:rFonts w:cstheme="minorHAnsi"/>
                <w:bCs/>
              </w:rPr>
              <w:t xml:space="preserve">the </w:t>
            </w:r>
            <w:r w:rsidR="00584805">
              <w:rPr>
                <w:rFonts w:cstheme="minorHAnsi"/>
                <w:bCs/>
              </w:rPr>
              <w:t>distribution of hospital</w:t>
            </w:r>
            <w:r>
              <w:rPr>
                <w:rFonts w:cstheme="minorHAnsi"/>
                <w:bCs/>
              </w:rPr>
              <w:t>-level</w:t>
            </w:r>
            <w:r w:rsidR="0030325D">
              <w:rPr>
                <w:rFonts w:cstheme="minorHAnsi"/>
                <w:bCs/>
              </w:rPr>
              <w:t xml:space="preserve"> </w:t>
            </w:r>
            <w:r>
              <w:rPr>
                <w:rFonts w:cstheme="minorHAnsi"/>
                <w:bCs/>
              </w:rPr>
              <w:t>RSIR</w:t>
            </w:r>
            <w:r w:rsidR="00584805">
              <w:rPr>
                <w:rFonts w:cstheme="minorHAnsi"/>
                <w:bCs/>
              </w:rPr>
              <w:t>s</w:t>
            </w:r>
            <w:r>
              <w:rPr>
                <w:rFonts w:cstheme="minorHAnsi"/>
                <w:bCs/>
              </w:rPr>
              <w:t xml:space="preserve">. </w:t>
            </w:r>
            <w:r w:rsidR="00584805">
              <w:t>V</w:t>
            </w:r>
            <w:r w:rsidRPr="00D4528E">
              <w:t>aria</w:t>
            </w:r>
            <w:r w:rsidRPr="007D7382">
              <w:t xml:space="preserve">tion </w:t>
            </w:r>
            <w:r w:rsidR="00584805">
              <w:t>in hospital-level RSIRs indicate</w:t>
            </w:r>
            <w:r w:rsidRPr="007D7382">
              <w:t xml:space="preserve"> </w:t>
            </w:r>
            <w:r w:rsidR="00584805">
              <w:t xml:space="preserve">a clinically meaningful </w:t>
            </w:r>
            <w:r w:rsidRPr="007D7382">
              <w:t>quality gap</w:t>
            </w:r>
            <w:r w:rsidR="00584805">
              <w:t xml:space="preserve"> in the delivery of care to patients undergoing</w:t>
            </w:r>
            <w:r w:rsidRPr="007D7382">
              <w:t>, as some hospitals</w:t>
            </w:r>
            <w:r>
              <w:t xml:space="preserve"> can achieve substantially higher rates than the average performer, while other hospitals performing much worse than an average performer.</w:t>
            </w:r>
          </w:p>
          <w:p w14:paraId="3CA986F9" w14:textId="77777777" w:rsidR="00665D00" w:rsidRDefault="00665D00" w:rsidP="00665D00">
            <w:pPr>
              <w:autoSpaceDE w:val="0"/>
              <w:autoSpaceDN w:val="0"/>
            </w:pPr>
          </w:p>
          <w:p w14:paraId="097DDD90" w14:textId="72017CF0" w:rsidR="00665D00" w:rsidRDefault="00584805" w:rsidP="00665D00">
            <w:pPr>
              <w:autoSpaceDE w:val="0"/>
              <w:autoSpaceDN w:val="0"/>
            </w:pPr>
            <w:r>
              <w:t xml:space="preserve">In addition, statistically significant differences were assessed using a </w:t>
            </w:r>
            <w:r w:rsidR="0030325D">
              <w:t>median odds ratio (MOR) (Merlo</w:t>
            </w:r>
            <w:r w:rsidR="00E660A6">
              <w:t xml:space="preserve"> et al,</w:t>
            </w:r>
            <w:r w:rsidR="00665D00">
              <w:t xml:space="preserve"> 2006). The median odds ratio represents the median increase in odds of </w:t>
            </w:r>
            <w:r>
              <w:t>the patient outcome (</w:t>
            </w:r>
            <w:r w:rsidR="00665D00">
              <w:t xml:space="preserve">a </w:t>
            </w:r>
            <w:r w:rsidR="0030325D">
              <w:t>SCB</w:t>
            </w:r>
            <w:r>
              <w:t xml:space="preserve"> improvement in PROM score from preoperative to postoperative assessment) </w:t>
            </w:r>
            <w:r w:rsidR="00665D00">
              <w:t xml:space="preserve">if a procedure on a single patient was performed by a higher performing hospital compared to a lower performing hospital. It is calculated by taking all possible combinations of </w:t>
            </w:r>
            <w:r>
              <w:t>hospitals</w:t>
            </w:r>
            <w:r w:rsidR="00CF16FC">
              <w:t xml:space="preserve"> (n=238 hospitals in the total dataset)</w:t>
            </w:r>
            <w:r w:rsidR="00665D00">
              <w:t xml:space="preserve">, always comparing the higher performing hospitals to the lower performing hospitals. The MOR is interpreted as a traditional odds ratio would be. </w:t>
            </w:r>
          </w:p>
          <w:p w14:paraId="51BB18D8" w14:textId="77777777" w:rsidR="00B92D58" w:rsidRDefault="00B92D58" w:rsidP="00665D00">
            <w:pPr>
              <w:autoSpaceDE w:val="0"/>
              <w:autoSpaceDN w:val="0"/>
            </w:pPr>
          </w:p>
          <w:p w14:paraId="6617B0FF" w14:textId="77777777" w:rsidR="00B92D58" w:rsidRPr="00A43AAE" w:rsidRDefault="00B92D58" w:rsidP="00B92D58">
            <w:pPr>
              <w:spacing w:before="120" w:after="120"/>
              <w:rPr>
                <w:u w:val="single"/>
              </w:rPr>
            </w:pPr>
            <w:r w:rsidRPr="00A43AAE">
              <w:rPr>
                <w:u w:val="single"/>
              </w:rPr>
              <w:t>Reference:</w:t>
            </w:r>
          </w:p>
          <w:p w14:paraId="35EE21AB" w14:textId="2F674C9C" w:rsidR="00B92D58" w:rsidRPr="005C1A0D" w:rsidRDefault="00B92D58" w:rsidP="00B92D58">
            <w:pPr>
              <w:spacing w:before="120" w:after="120"/>
            </w:pPr>
            <w:r>
              <w:t>Merlo J, Chaix B, Ohlsson H, Beckman A, Johnell K, Hjerpe P, et al. (2006). A brief conceptual tutorial of multilevel analysis in social epidemiology: using measures of clustering in multilevel logistic regression to investigate contextual phenomena. J Epidemiol Community Health, 60:290-297.</w:t>
            </w:r>
          </w:p>
          <w:p w14:paraId="3C8036D6" w14:textId="77777777" w:rsidR="00665D00" w:rsidRDefault="00665D00" w:rsidP="00D61410">
            <w:pPr>
              <w:autoSpaceDE w:val="0"/>
              <w:autoSpaceDN w:val="0"/>
              <w:adjustRightInd w:val="0"/>
              <w:rPr>
                <w:rFonts w:cstheme="minorHAnsi"/>
                <w:bCs/>
              </w:rPr>
            </w:pPr>
          </w:p>
        </w:tc>
      </w:tr>
    </w:tbl>
    <w:p w14:paraId="0CABD008" w14:textId="22F4ECF1" w:rsidR="00D61410" w:rsidRPr="00A25024" w:rsidRDefault="00D61410" w:rsidP="00D61410">
      <w:pPr>
        <w:autoSpaceDE w:val="0"/>
        <w:autoSpaceDN w:val="0"/>
        <w:adjustRightInd w:val="0"/>
        <w:spacing w:after="0" w:line="240" w:lineRule="auto"/>
        <w:rPr>
          <w:rFonts w:cstheme="minorHAns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19CE11C" w14:textId="385E7633" w:rsidR="003942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394224">
        <w:rPr>
          <w:rFonts w:cstheme="minorHAnsi"/>
          <w:bCs/>
        </w:rPr>
        <w:t>)</w:t>
      </w:r>
    </w:p>
    <w:tbl>
      <w:tblPr>
        <w:tblStyle w:val="TableGrid"/>
        <w:tblW w:w="0" w:type="auto"/>
        <w:tblLook w:val="04A0" w:firstRow="1" w:lastRow="0" w:firstColumn="1" w:lastColumn="0" w:noHBand="0" w:noVBand="1"/>
      </w:tblPr>
      <w:tblGrid>
        <w:gridCol w:w="9350"/>
      </w:tblGrid>
      <w:tr w:rsidR="006B2449" w14:paraId="21E05398" w14:textId="77777777" w:rsidTr="006B2449">
        <w:tc>
          <w:tcPr>
            <w:tcW w:w="9350" w:type="dxa"/>
          </w:tcPr>
          <w:p w14:paraId="696DD414" w14:textId="65571640" w:rsidR="006B2449" w:rsidRDefault="006B2449" w:rsidP="006B2449">
            <w:bookmarkStart w:id="18" w:name="_Hlk23375545"/>
            <w:r>
              <w:rPr>
                <w:rFonts w:cstheme="minorHAnsi"/>
                <w:bCs/>
              </w:rPr>
              <w:t xml:space="preserve">Table </w:t>
            </w:r>
            <w:r w:rsidR="00574BE6">
              <w:rPr>
                <w:rFonts w:cstheme="minorHAnsi"/>
                <w:bCs/>
              </w:rPr>
              <w:t>1</w:t>
            </w:r>
            <w:r w:rsidR="00953B46">
              <w:rPr>
                <w:rFonts w:cstheme="minorHAnsi"/>
                <w:bCs/>
              </w:rPr>
              <w:t>1</w:t>
            </w:r>
            <w:r>
              <w:rPr>
                <w:rFonts w:cstheme="minorHAnsi"/>
                <w:bCs/>
              </w:rPr>
              <w:t xml:space="preserve"> provides the mean and distribution of hospitals’ </w:t>
            </w:r>
            <w:r w:rsidR="00E60B60">
              <w:rPr>
                <w:rFonts w:cstheme="minorHAnsi"/>
                <w:bCs/>
              </w:rPr>
              <w:t>RSIRs</w:t>
            </w:r>
            <w:r>
              <w:rPr>
                <w:rFonts w:cstheme="minorHAnsi"/>
                <w:bCs/>
              </w:rPr>
              <w:t xml:space="preserve">. </w:t>
            </w:r>
            <w:r w:rsidR="00A24338">
              <w:rPr>
                <w:rFonts w:cstheme="minorHAnsi"/>
                <w:bCs/>
              </w:rPr>
              <w:t>R</w:t>
            </w:r>
            <w:r>
              <w:rPr>
                <w:rFonts w:cstheme="minorHAnsi"/>
                <w:bCs/>
              </w:rPr>
              <w:t>isk-standardized improvement rates ranged from 6.65% to 86.84% (median: 66.49%</w:t>
            </w:r>
            <w:r w:rsidRPr="00FF1A72">
              <w:rPr>
                <w:rFonts w:cstheme="minorHAnsi"/>
                <w:bCs/>
              </w:rPr>
              <w:t>).</w:t>
            </w:r>
          </w:p>
          <w:p w14:paraId="356DFDC6" w14:textId="77777777" w:rsidR="006B2449" w:rsidRDefault="006B2449" w:rsidP="006B2449"/>
          <w:p w14:paraId="57AD6E18" w14:textId="68F56886" w:rsidR="006B2449" w:rsidRDefault="006B2449" w:rsidP="006B2449">
            <w:r>
              <w:t>Median Odds Ratio (MOR) = 3.44 with upper and lower 95% confidence bands of 3.385 and</w:t>
            </w:r>
            <w:r w:rsidR="00E9724D">
              <w:t xml:space="preserve"> </w:t>
            </w:r>
            <w:r>
              <w:t>3.485.</w:t>
            </w:r>
          </w:p>
          <w:p w14:paraId="352D31E8" w14:textId="77777777" w:rsidR="006B2449" w:rsidRDefault="006B2449" w:rsidP="00D61410">
            <w:pPr>
              <w:autoSpaceDE w:val="0"/>
              <w:autoSpaceDN w:val="0"/>
              <w:adjustRightInd w:val="0"/>
              <w:rPr>
                <w:rFonts w:cstheme="minorHAnsi"/>
                <w:bCs/>
              </w:rPr>
            </w:pPr>
          </w:p>
        </w:tc>
      </w:tr>
    </w:tbl>
    <w:p w14:paraId="0CABD00A" w14:textId="60A28301" w:rsidR="00D61410" w:rsidRDefault="00D61410" w:rsidP="00D61410">
      <w:pPr>
        <w:autoSpaceDE w:val="0"/>
        <w:autoSpaceDN w:val="0"/>
        <w:adjustRightInd w:val="0"/>
        <w:spacing w:after="0" w:line="240" w:lineRule="auto"/>
        <w:rPr>
          <w:rFonts w:cstheme="minorHAnsi"/>
          <w:bCs/>
        </w:rPr>
      </w:pPr>
    </w:p>
    <w:p w14:paraId="11397FC0" w14:textId="77777777" w:rsidR="006B2449" w:rsidRDefault="006B2449" w:rsidP="00D61410">
      <w:pPr>
        <w:autoSpaceDE w:val="0"/>
        <w:autoSpaceDN w:val="0"/>
        <w:adjustRightInd w:val="0"/>
        <w:spacing w:after="0" w:line="240" w:lineRule="auto"/>
        <w:rPr>
          <w:rFonts w:cstheme="minorHAnsi"/>
          <w:bCs/>
        </w:rPr>
      </w:pPr>
    </w:p>
    <w:p w14:paraId="76FD5674" w14:textId="6E2793D2" w:rsidR="00966B01" w:rsidRPr="00966B01" w:rsidRDefault="00966B01" w:rsidP="00574BE6">
      <w:pPr>
        <w:pStyle w:val="Caption"/>
        <w:spacing w:line="240" w:lineRule="auto"/>
        <w:jc w:val="left"/>
        <w:rPr>
          <w:szCs w:val="22"/>
        </w:rPr>
      </w:pPr>
      <w:r w:rsidRPr="00966B01">
        <w:rPr>
          <w:szCs w:val="22"/>
        </w:rPr>
        <w:t>Table</w:t>
      </w:r>
      <w:r w:rsidRPr="00966B01">
        <w:rPr>
          <w:noProof/>
          <w:szCs w:val="22"/>
        </w:rPr>
        <w:t xml:space="preserve"> </w:t>
      </w:r>
      <w:r w:rsidR="00574BE6">
        <w:rPr>
          <w:noProof/>
          <w:szCs w:val="22"/>
        </w:rPr>
        <w:t>1</w:t>
      </w:r>
      <w:r w:rsidR="00953B46">
        <w:rPr>
          <w:noProof/>
          <w:szCs w:val="22"/>
        </w:rPr>
        <w:t>1</w:t>
      </w:r>
      <w:r w:rsidRPr="00966B01">
        <w:rPr>
          <w:szCs w:val="22"/>
        </w:rPr>
        <w:t>. M</w:t>
      </w:r>
      <w:r w:rsidR="00E60B60">
        <w:rPr>
          <w:szCs w:val="22"/>
        </w:rPr>
        <w:t>ean and Distribution of RSIRs</w:t>
      </w:r>
      <w:r w:rsidRPr="00966B01">
        <w:rPr>
          <w:szCs w:val="22"/>
        </w:rPr>
        <w:t xml:space="preserve"> for </w:t>
      </w:r>
      <w:r>
        <w:rPr>
          <w:szCs w:val="22"/>
        </w:rPr>
        <w:t xml:space="preserve">Risk Model of SCB Improvement following </w:t>
      </w:r>
      <w:r w:rsidR="00041B5D">
        <w:rPr>
          <w:szCs w:val="22"/>
        </w:rPr>
        <w:t xml:space="preserve">Elect6ive Primary </w:t>
      </w:r>
      <w:r w:rsidRPr="00966B01">
        <w:rPr>
          <w:szCs w:val="22"/>
        </w:rPr>
        <w:t xml:space="preserve">THA/TKA (Hospitals with </w:t>
      </w:r>
      <w:r w:rsidRPr="00953B46">
        <w:rPr>
          <w:szCs w:val="22"/>
          <w:u w:val="single"/>
        </w:rPr>
        <w:t>&gt;</w:t>
      </w:r>
      <w:r w:rsidRPr="00953B46">
        <w:rPr>
          <w:szCs w:val="22"/>
        </w:rPr>
        <w:t>2</w:t>
      </w:r>
      <w:r w:rsidRPr="00966B01">
        <w:rPr>
          <w:szCs w:val="22"/>
        </w:rPr>
        <w:t>5 THA/TKA</w:t>
      </w:r>
      <w:r w:rsidR="00953B46">
        <w:rPr>
          <w:szCs w:val="22"/>
        </w:rPr>
        <w:t xml:space="preserve"> Patients with PRO Data</w:t>
      </w:r>
      <w:r w:rsidRPr="00966B01">
        <w:rPr>
          <w:szCs w:val="22"/>
        </w:rPr>
        <w:t>)</w:t>
      </w:r>
    </w:p>
    <w:tbl>
      <w:tblPr>
        <w:tblStyle w:val="TableGrid"/>
        <w:tblW w:w="5305" w:type="dxa"/>
        <w:tblLook w:val="04A0" w:firstRow="1" w:lastRow="0" w:firstColumn="1" w:lastColumn="0" w:noHBand="0" w:noVBand="1"/>
      </w:tblPr>
      <w:tblGrid>
        <w:gridCol w:w="2158"/>
        <w:gridCol w:w="3147"/>
      </w:tblGrid>
      <w:tr w:rsidR="00CF16FC" w:rsidRPr="00EC77AC" w14:paraId="6B07EA8F" w14:textId="35C83329" w:rsidTr="00BC16E3">
        <w:trPr>
          <w:tblHeader/>
        </w:trPr>
        <w:tc>
          <w:tcPr>
            <w:tcW w:w="2158" w:type="dxa"/>
            <w:shd w:val="clear" w:color="auto" w:fill="DDEBF7"/>
          </w:tcPr>
          <w:p w14:paraId="6FEA8CB6" w14:textId="389806C1" w:rsidR="00CF16FC" w:rsidRPr="00EC77AC" w:rsidRDefault="00E71C5C" w:rsidP="00941EAB">
            <w:pPr>
              <w:rPr>
                <w:b/>
              </w:rPr>
            </w:pPr>
            <w:bookmarkStart w:id="19" w:name="_Hlk25617058"/>
            <w:r>
              <w:rPr>
                <w:b/>
              </w:rPr>
              <w:t>Summary Statistics</w:t>
            </w:r>
          </w:p>
        </w:tc>
        <w:tc>
          <w:tcPr>
            <w:tcW w:w="3147" w:type="dxa"/>
            <w:shd w:val="clear" w:color="auto" w:fill="DDEBF7"/>
          </w:tcPr>
          <w:p w14:paraId="6774D5E8" w14:textId="694C831A" w:rsidR="00CF16FC" w:rsidRDefault="00E9724D" w:rsidP="00941EAB">
            <w:pPr>
              <w:jc w:val="center"/>
              <w:rPr>
                <w:b/>
              </w:rPr>
            </w:pPr>
            <w:r>
              <w:rPr>
                <w:b/>
              </w:rPr>
              <w:t>RSIRs</w:t>
            </w:r>
          </w:p>
          <w:p w14:paraId="6EBBAD02" w14:textId="7671F188" w:rsidR="00CF16FC" w:rsidRDefault="00CF16FC" w:rsidP="00941EAB">
            <w:pPr>
              <w:jc w:val="center"/>
              <w:rPr>
                <w:b/>
              </w:rPr>
            </w:pPr>
            <w:r>
              <w:rPr>
                <w:b/>
              </w:rPr>
              <w:t>(Combined Dataset)</w:t>
            </w:r>
          </w:p>
        </w:tc>
      </w:tr>
      <w:tr w:rsidR="00CF16FC" w:rsidRPr="009514D8" w14:paraId="0C67B490" w14:textId="56FC3615" w:rsidTr="00CF16FC">
        <w:tc>
          <w:tcPr>
            <w:tcW w:w="2158" w:type="dxa"/>
          </w:tcPr>
          <w:p w14:paraId="29BE51F5" w14:textId="77777777" w:rsidR="00CF16FC" w:rsidRPr="00EC77AC" w:rsidRDefault="00CF16FC" w:rsidP="00941EAB">
            <w:pPr>
              <w:rPr>
                <w:b/>
              </w:rPr>
            </w:pPr>
            <w:r w:rsidRPr="00EC77AC">
              <w:rPr>
                <w:b/>
              </w:rPr>
              <w:t>N (Hospitals)</w:t>
            </w:r>
          </w:p>
        </w:tc>
        <w:tc>
          <w:tcPr>
            <w:tcW w:w="3147" w:type="dxa"/>
          </w:tcPr>
          <w:p w14:paraId="77AF37D4" w14:textId="0C479866" w:rsidR="00CF16FC" w:rsidRPr="00413E3B" w:rsidRDefault="00CF16FC" w:rsidP="00941EAB">
            <w:pPr>
              <w:jc w:val="center"/>
              <w:rPr>
                <w:rFonts w:cstheme="minorHAnsi"/>
                <w:sz w:val="24"/>
                <w:szCs w:val="24"/>
              </w:rPr>
            </w:pPr>
            <w:r>
              <w:rPr>
                <w:rFonts w:cstheme="minorHAnsi"/>
              </w:rPr>
              <w:t>123</w:t>
            </w:r>
          </w:p>
        </w:tc>
      </w:tr>
      <w:tr w:rsidR="00CF16FC" w:rsidRPr="009514D8" w14:paraId="058D19D2" w14:textId="19147D1F" w:rsidTr="00CF16FC">
        <w:tc>
          <w:tcPr>
            <w:tcW w:w="2158" w:type="dxa"/>
          </w:tcPr>
          <w:p w14:paraId="0186A2A7" w14:textId="77777777" w:rsidR="00CF16FC" w:rsidRPr="00EC77AC" w:rsidRDefault="00CF16FC" w:rsidP="00941EAB">
            <w:pPr>
              <w:rPr>
                <w:b/>
              </w:rPr>
            </w:pPr>
            <w:r w:rsidRPr="00EC77AC">
              <w:rPr>
                <w:b/>
              </w:rPr>
              <w:t>Mean (SD)</w:t>
            </w:r>
          </w:p>
        </w:tc>
        <w:tc>
          <w:tcPr>
            <w:tcW w:w="3147" w:type="dxa"/>
          </w:tcPr>
          <w:p w14:paraId="7B00AA77" w14:textId="31AE464A" w:rsidR="00CF16FC" w:rsidRPr="00413E3B" w:rsidRDefault="00CF16FC" w:rsidP="00941EAB">
            <w:pPr>
              <w:jc w:val="center"/>
              <w:rPr>
                <w:rFonts w:cstheme="minorHAnsi"/>
                <w:color w:val="000000"/>
                <w:sz w:val="24"/>
                <w:szCs w:val="24"/>
              </w:rPr>
            </w:pPr>
            <w:r>
              <w:rPr>
                <w:rFonts w:cstheme="minorHAnsi"/>
                <w:color w:val="000000"/>
              </w:rPr>
              <w:t>60.16% (19.58)</w:t>
            </w:r>
          </w:p>
        </w:tc>
      </w:tr>
      <w:tr w:rsidR="00CF16FC" w:rsidRPr="009514D8" w14:paraId="58F9F2A4" w14:textId="1BD07433" w:rsidTr="00CF16FC">
        <w:tc>
          <w:tcPr>
            <w:tcW w:w="2158" w:type="dxa"/>
          </w:tcPr>
          <w:p w14:paraId="11243950" w14:textId="77777777" w:rsidR="00CF16FC" w:rsidRPr="00EC77AC" w:rsidRDefault="00CF16FC" w:rsidP="00941EAB">
            <w:pPr>
              <w:rPr>
                <w:b/>
              </w:rPr>
            </w:pPr>
            <w:r w:rsidRPr="00EC77AC">
              <w:rPr>
                <w:b/>
              </w:rPr>
              <w:t>Percentile</w:t>
            </w:r>
          </w:p>
        </w:tc>
        <w:tc>
          <w:tcPr>
            <w:tcW w:w="3147" w:type="dxa"/>
          </w:tcPr>
          <w:p w14:paraId="713560CA" w14:textId="77777777" w:rsidR="00CF16FC" w:rsidRPr="009514D8" w:rsidRDefault="00CF16FC" w:rsidP="00941EAB">
            <w:pPr>
              <w:jc w:val="center"/>
              <w:rPr>
                <w:rFonts w:cstheme="minorHAnsi"/>
              </w:rPr>
            </w:pPr>
          </w:p>
        </w:tc>
      </w:tr>
      <w:tr w:rsidR="00CF16FC" w:rsidRPr="009514D8" w14:paraId="49D1A452" w14:textId="41AD030F" w:rsidTr="00CF16FC">
        <w:tc>
          <w:tcPr>
            <w:tcW w:w="2158" w:type="dxa"/>
          </w:tcPr>
          <w:p w14:paraId="07DE7338" w14:textId="77777777" w:rsidR="00CF16FC" w:rsidRDefault="00CF16FC" w:rsidP="00941EAB">
            <w:pPr>
              <w:rPr>
                <w:b/>
              </w:rPr>
            </w:pPr>
            <w:r>
              <w:rPr>
                <w:b/>
              </w:rPr>
              <w:t>100% Max</w:t>
            </w:r>
          </w:p>
        </w:tc>
        <w:tc>
          <w:tcPr>
            <w:tcW w:w="3147" w:type="dxa"/>
          </w:tcPr>
          <w:p w14:paraId="4D978335" w14:textId="05CB586F" w:rsidR="00CF16FC" w:rsidRPr="00413E3B" w:rsidRDefault="00CF16FC" w:rsidP="00941EAB">
            <w:pPr>
              <w:jc w:val="center"/>
              <w:rPr>
                <w:rFonts w:ascii="Calibri" w:hAnsi="Calibri" w:cs="Calibri"/>
                <w:color w:val="000000"/>
                <w:sz w:val="24"/>
                <w:szCs w:val="24"/>
              </w:rPr>
            </w:pPr>
            <w:r>
              <w:rPr>
                <w:rFonts w:ascii="Calibri" w:hAnsi="Calibri"/>
                <w:color w:val="000000"/>
              </w:rPr>
              <w:t>86.84%</w:t>
            </w:r>
          </w:p>
        </w:tc>
      </w:tr>
      <w:tr w:rsidR="00CF16FC" w:rsidRPr="009514D8" w14:paraId="70526D5A" w14:textId="34055353" w:rsidTr="00CF16FC">
        <w:tc>
          <w:tcPr>
            <w:tcW w:w="2158" w:type="dxa"/>
          </w:tcPr>
          <w:p w14:paraId="0A99C3EB" w14:textId="77777777" w:rsidR="00CF16FC" w:rsidRPr="00EC77AC" w:rsidRDefault="00CF16FC" w:rsidP="00941EAB">
            <w:pPr>
              <w:rPr>
                <w:b/>
              </w:rPr>
            </w:pPr>
            <w:r>
              <w:rPr>
                <w:b/>
              </w:rPr>
              <w:t>99%</w:t>
            </w:r>
          </w:p>
        </w:tc>
        <w:tc>
          <w:tcPr>
            <w:tcW w:w="3147" w:type="dxa"/>
          </w:tcPr>
          <w:p w14:paraId="0B6D2FE7" w14:textId="650C3BBE" w:rsidR="00CF16FC" w:rsidRPr="00413E3B" w:rsidRDefault="00CF16FC" w:rsidP="00941EAB">
            <w:pPr>
              <w:jc w:val="center"/>
              <w:rPr>
                <w:rFonts w:ascii="Calibri" w:hAnsi="Calibri" w:cs="Calibri"/>
                <w:color w:val="000000"/>
                <w:sz w:val="24"/>
                <w:szCs w:val="24"/>
              </w:rPr>
            </w:pPr>
            <w:r>
              <w:rPr>
                <w:rFonts w:ascii="Calibri" w:hAnsi="Calibri"/>
                <w:color w:val="000000"/>
              </w:rPr>
              <w:t>84.73%</w:t>
            </w:r>
          </w:p>
        </w:tc>
      </w:tr>
      <w:tr w:rsidR="00CF16FC" w:rsidRPr="009514D8" w14:paraId="22760DB7" w14:textId="68F82312" w:rsidTr="00CF16FC">
        <w:tc>
          <w:tcPr>
            <w:tcW w:w="2158" w:type="dxa"/>
          </w:tcPr>
          <w:p w14:paraId="2539FB00" w14:textId="77777777" w:rsidR="00CF16FC" w:rsidRPr="00EC77AC" w:rsidRDefault="00CF16FC" w:rsidP="00941EAB">
            <w:pPr>
              <w:rPr>
                <w:b/>
              </w:rPr>
            </w:pPr>
            <w:r w:rsidRPr="00EC77AC">
              <w:rPr>
                <w:b/>
              </w:rPr>
              <w:t>95%</w:t>
            </w:r>
          </w:p>
        </w:tc>
        <w:tc>
          <w:tcPr>
            <w:tcW w:w="3147" w:type="dxa"/>
          </w:tcPr>
          <w:p w14:paraId="29E70406" w14:textId="215CC250" w:rsidR="00CF16FC" w:rsidRPr="00413E3B" w:rsidRDefault="00CF16FC" w:rsidP="00941EAB">
            <w:pPr>
              <w:jc w:val="center"/>
              <w:rPr>
                <w:rFonts w:ascii="Calibri" w:hAnsi="Calibri" w:cs="Calibri"/>
                <w:color w:val="000000"/>
                <w:sz w:val="24"/>
                <w:szCs w:val="24"/>
              </w:rPr>
            </w:pPr>
            <w:r>
              <w:rPr>
                <w:rFonts w:ascii="Calibri" w:hAnsi="Calibri"/>
                <w:color w:val="000000"/>
              </w:rPr>
              <w:t>81.92%</w:t>
            </w:r>
          </w:p>
        </w:tc>
      </w:tr>
      <w:tr w:rsidR="00CF16FC" w:rsidRPr="009514D8" w14:paraId="3D234F86" w14:textId="7BD9E7E0" w:rsidTr="00CF16FC">
        <w:tc>
          <w:tcPr>
            <w:tcW w:w="2158" w:type="dxa"/>
          </w:tcPr>
          <w:p w14:paraId="25F8E04D" w14:textId="77777777" w:rsidR="00CF16FC" w:rsidRPr="00EC77AC" w:rsidRDefault="00CF16FC" w:rsidP="00941EAB">
            <w:pPr>
              <w:rPr>
                <w:b/>
              </w:rPr>
            </w:pPr>
            <w:r w:rsidRPr="00EC77AC">
              <w:rPr>
                <w:b/>
              </w:rPr>
              <w:t>90%</w:t>
            </w:r>
          </w:p>
        </w:tc>
        <w:tc>
          <w:tcPr>
            <w:tcW w:w="3147" w:type="dxa"/>
          </w:tcPr>
          <w:p w14:paraId="68C3026B" w14:textId="7E974C2D" w:rsidR="00CF16FC" w:rsidRPr="00413E3B" w:rsidRDefault="00CF16FC" w:rsidP="00941EAB">
            <w:pPr>
              <w:jc w:val="center"/>
              <w:rPr>
                <w:rFonts w:ascii="Calibri" w:hAnsi="Calibri" w:cs="Calibri"/>
                <w:color w:val="000000"/>
                <w:sz w:val="24"/>
                <w:szCs w:val="24"/>
              </w:rPr>
            </w:pPr>
            <w:r>
              <w:rPr>
                <w:rFonts w:ascii="Calibri" w:hAnsi="Calibri"/>
                <w:color w:val="000000"/>
              </w:rPr>
              <w:t>78.85%</w:t>
            </w:r>
          </w:p>
        </w:tc>
      </w:tr>
      <w:tr w:rsidR="00CF16FC" w:rsidRPr="009514D8" w14:paraId="26BC58A7" w14:textId="5BA5268B" w:rsidTr="00CF16FC">
        <w:tc>
          <w:tcPr>
            <w:tcW w:w="2158" w:type="dxa"/>
          </w:tcPr>
          <w:p w14:paraId="0EAE9442" w14:textId="77777777" w:rsidR="00CF16FC" w:rsidRPr="00EC77AC" w:rsidRDefault="00CF16FC" w:rsidP="00941EAB">
            <w:pPr>
              <w:rPr>
                <w:b/>
              </w:rPr>
            </w:pPr>
            <w:r w:rsidRPr="00EC77AC">
              <w:rPr>
                <w:b/>
              </w:rPr>
              <w:lastRenderedPageBreak/>
              <w:t>75% (Q3)</w:t>
            </w:r>
          </w:p>
        </w:tc>
        <w:tc>
          <w:tcPr>
            <w:tcW w:w="3147" w:type="dxa"/>
          </w:tcPr>
          <w:p w14:paraId="79FBD36B" w14:textId="0D5267BE" w:rsidR="00CF16FC" w:rsidRPr="00413E3B" w:rsidRDefault="00CF16FC" w:rsidP="00941EAB">
            <w:pPr>
              <w:jc w:val="center"/>
              <w:rPr>
                <w:rFonts w:ascii="Calibri" w:hAnsi="Calibri" w:cs="Calibri"/>
                <w:color w:val="000000"/>
                <w:sz w:val="24"/>
                <w:szCs w:val="24"/>
              </w:rPr>
            </w:pPr>
            <w:r>
              <w:rPr>
                <w:rFonts w:ascii="Calibri" w:hAnsi="Calibri"/>
                <w:color w:val="000000"/>
              </w:rPr>
              <w:t>72.51%</w:t>
            </w:r>
          </w:p>
        </w:tc>
      </w:tr>
      <w:tr w:rsidR="00CF16FC" w:rsidRPr="009514D8" w14:paraId="3256E6B2" w14:textId="32D4360D" w:rsidTr="00CF16FC">
        <w:tc>
          <w:tcPr>
            <w:tcW w:w="2158" w:type="dxa"/>
          </w:tcPr>
          <w:p w14:paraId="22A1D74F" w14:textId="77777777" w:rsidR="00CF16FC" w:rsidRPr="00EC77AC" w:rsidRDefault="00CF16FC" w:rsidP="00941EAB">
            <w:pPr>
              <w:rPr>
                <w:b/>
              </w:rPr>
            </w:pPr>
            <w:r w:rsidRPr="00EC77AC">
              <w:rPr>
                <w:b/>
              </w:rPr>
              <w:t>50% (Median)</w:t>
            </w:r>
          </w:p>
        </w:tc>
        <w:tc>
          <w:tcPr>
            <w:tcW w:w="3147" w:type="dxa"/>
          </w:tcPr>
          <w:p w14:paraId="615DA710" w14:textId="2D628E36" w:rsidR="00CF16FC" w:rsidRPr="00413E3B" w:rsidRDefault="00CF16FC" w:rsidP="00941EAB">
            <w:pPr>
              <w:jc w:val="center"/>
              <w:rPr>
                <w:rFonts w:ascii="Calibri" w:hAnsi="Calibri" w:cs="Calibri"/>
                <w:color w:val="000000"/>
                <w:sz w:val="24"/>
                <w:szCs w:val="24"/>
              </w:rPr>
            </w:pPr>
            <w:r>
              <w:rPr>
                <w:rFonts w:ascii="Calibri" w:hAnsi="Calibri"/>
                <w:color w:val="000000"/>
              </w:rPr>
              <w:t>66.49%</w:t>
            </w:r>
          </w:p>
        </w:tc>
      </w:tr>
      <w:tr w:rsidR="00CF16FC" w:rsidRPr="009514D8" w14:paraId="6C28AEDA" w14:textId="00132A51" w:rsidTr="00CF16FC">
        <w:tc>
          <w:tcPr>
            <w:tcW w:w="2158" w:type="dxa"/>
          </w:tcPr>
          <w:p w14:paraId="4ADD02E5" w14:textId="77777777" w:rsidR="00CF16FC" w:rsidRPr="00EC77AC" w:rsidRDefault="00CF16FC" w:rsidP="00941EAB">
            <w:pPr>
              <w:rPr>
                <w:b/>
              </w:rPr>
            </w:pPr>
            <w:r w:rsidRPr="00EC77AC">
              <w:rPr>
                <w:b/>
              </w:rPr>
              <w:t>25% (Q1)</w:t>
            </w:r>
          </w:p>
        </w:tc>
        <w:tc>
          <w:tcPr>
            <w:tcW w:w="3147" w:type="dxa"/>
          </w:tcPr>
          <w:p w14:paraId="65A2DA65" w14:textId="38F66B36" w:rsidR="00CF16FC" w:rsidRPr="00413E3B" w:rsidRDefault="00CF16FC" w:rsidP="00941EAB">
            <w:pPr>
              <w:jc w:val="center"/>
              <w:rPr>
                <w:rFonts w:ascii="Calibri" w:hAnsi="Calibri" w:cs="Calibri"/>
                <w:color w:val="000000"/>
                <w:sz w:val="24"/>
                <w:szCs w:val="24"/>
              </w:rPr>
            </w:pPr>
            <w:r>
              <w:rPr>
                <w:rFonts w:ascii="Calibri" w:hAnsi="Calibri"/>
                <w:color w:val="000000"/>
              </w:rPr>
              <w:t>54.36%</w:t>
            </w:r>
          </w:p>
        </w:tc>
      </w:tr>
      <w:tr w:rsidR="00CF16FC" w:rsidRPr="009514D8" w14:paraId="41E8215D" w14:textId="2D942CC4" w:rsidTr="00CF16FC">
        <w:tc>
          <w:tcPr>
            <w:tcW w:w="2158" w:type="dxa"/>
          </w:tcPr>
          <w:p w14:paraId="6FC8CA78" w14:textId="77777777" w:rsidR="00CF16FC" w:rsidRPr="00EC77AC" w:rsidRDefault="00CF16FC" w:rsidP="00941EAB">
            <w:pPr>
              <w:rPr>
                <w:b/>
              </w:rPr>
            </w:pPr>
            <w:r w:rsidRPr="00EC77AC">
              <w:rPr>
                <w:b/>
              </w:rPr>
              <w:t>10%</w:t>
            </w:r>
          </w:p>
        </w:tc>
        <w:tc>
          <w:tcPr>
            <w:tcW w:w="3147" w:type="dxa"/>
          </w:tcPr>
          <w:p w14:paraId="4C20AAF2" w14:textId="607BB5EE" w:rsidR="00CF16FC" w:rsidRPr="00413E3B" w:rsidRDefault="00CF16FC" w:rsidP="00941EAB">
            <w:pPr>
              <w:jc w:val="center"/>
              <w:rPr>
                <w:rFonts w:ascii="Calibri" w:hAnsi="Calibri" w:cs="Calibri"/>
                <w:color w:val="000000"/>
                <w:sz w:val="24"/>
                <w:szCs w:val="24"/>
              </w:rPr>
            </w:pPr>
            <w:r>
              <w:rPr>
                <w:rFonts w:ascii="Calibri" w:hAnsi="Calibri"/>
                <w:color w:val="000000"/>
              </w:rPr>
              <w:t>20.94%</w:t>
            </w:r>
          </w:p>
        </w:tc>
      </w:tr>
      <w:tr w:rsidR="00CF16FC" w:rsidRPr="009514D8" w14:paraId="78E0B6A2" w14:textId="3DA29035" w:rsidTr="00CF16FC">
        <w:tc>
          <w:tcPr>
            <w:tcW w:w="2158" w:type="dxa"/>
          </w:tcPr>
          <w:p w14:paraId="0154BE50" w14:textId="77777777" w:rsidR="00CF16FC" w:rsidRPr="00EC77AC" w:rsidRDefault="00CF16FC" w:rsidP="00941EAB">
            <w:pPr>
              <w:rPr>
                <w:b/>
              </w:rPr>
            </w:pPr>
            <w:r w:rsidRPr="00EC77AC">
              <w:rPr>
                <w:b/>
              </w:rPr>
              <w:t>5%</w:t>
            </w:r>
          </w:p>
        </w:tc>
        <w:tc>
          <w:tcPr>
            <w:tcW w:w="3147" w:type="dxa"/>
          </w:tcPr>
          <w:p w14:paraId="7F3A637F" w14:textId="04FF57F6" w:rsidR="00CF16FC" w:rsidRPr="00413E3B" w:rsidRDefault="00CF16FC" w:rsidP="00941EAB">
            <w:pPr>
              <w:jc w:val="center"/>
              <w:rPr>
                <w:rFonts w:ascii="Calibri" w:hAnsi="Calibri" w:cs="Calibri"/>
                <w:color w:val="000000"/>
                <w:sz w:val="24"/>
                <w:szCs w:val="24"/>
              </w:rPr>
            </w:pPr>
            <w:r>
              <w:rPr>
                <w:rFonts w:ascii="Calibri" w:hAnsi="Calibri"/>
                <w:color w:val="000000"/>
              </w:rPr>
              <w:t>13.42%</w:t>
            </w:r>
          </w:p>
        </w:tc>
      </w:tr>
      <w:tr w:rsidR="00CF16FC" w:rsidRPr="009514D8" w14:paraId="365B228A" w14:textId="5E0CD7E9" w:rsidTr="00CF16FC">
        <w:tc>
          <w:tcPr>
            <w:tcW w:w="2158" w:type="dxa"/>
          </w:tcPr>
          <w:p w14:paraId="5FCB61B8" w14:textId="77777777" w:rsidR="00CF16FC" w:rsidRPr="00EC77AC" w:rsidRDefault="00CF16FC" w:rsidP="00941EAB">
            <w:pPr>
              <w:rPr>
                <w:b/>
              </w:rPr>
            </w:pPr>
            <w:r>
              <w:rPr>
                <w:b/>
              </w:rPr>
              <w:t>1%</w:t>
            </w:r>
          </w:p>
        </w:tc>
        <w:tc>
          <w:tcPr>
            <w:tcW w:w="3147" w:type="dxa"/>
          </w:tcPr>
          <w:p w14:paraId="1542CE1D" w14:textId="52DE2C71" w:rsidR="00CF16FC" w:rsidRPr="00413E3B" w:rsidRDefault="00CF16FC" w:rsidP="00941EAB">
            <w:pPr>
              <w:jc w:val="center"/>
              <w:rPr>
                <w:rFonts w:ascii="Calibri" w:hAnsi="Calibri" w:cs="Calibri"/>
                <w:color w:val="000000"/>
                <w:sz w:val="24"/>
                <w:szCs w:val="24"/>
              </w:rPr>
            </w:pPr>
            <w:r>
              <w:rPr>
                <w:rFonts w:ascii="Calibri" w:hAnsi="Calibri"/>
                <w:color w:val="000000"/>
              </w:rPr>
              <w:t>7.70%</w:t>
            </w:r>
          </w:p>
        </w:tc>
      </w:tr>
      <w:tr w:rsidR="00CF16FC" w:rsidRPr="009514D8" w14:paraId="1C8D6CAF" w14:textId="50559337" w:rsidTr="00CF16FC">
        <w:tc>
          <w:tcPr>
            <w:tcW w:w="2158" w:type="dxa"/>
          </w:tcPr>
          <w:p w14:paraId="6148D2AF" w14:textId="77777777" w:rsidR="00CF16FC" w:rsidRPr="00EC77AC" w:rsidRDefault="00CF16FC" w:rsidP="00941EAB">
            <w:pPr>
              <w:rPr>
                <w:b/>
              </w:rPr>
            </w:pPr>
            <w:r>
              <w:rPr>
                <w:b/>
              </w:rPr>
              <w:t>0% Min</w:t>
            </w:r>
          </w:p>
        </w:tc>
        <w:tc>
          <w:tcPr>
            <w:tcW w:w="3147" w:type="dxa"/>
          </w:tcPr>
          <w:p w14:paraId="30CC3984" w14:textId="305BCE1B" w:rsidR="00CF16FC" w:rsidRPr="00413E3B" w:rsidRDefault="00CF16FC" w:rsidP="00941EAB">
            <w:pPr>
              <w:jc w:val="center"/>
              <w:rPr>
                <w:rFonts w:ascii="Calibri" w:hAnsi="Calibri" w:cs="Calibri"/>
                <w:color w:val="000000"/>
                <w:sz w:val="24"/>
                <w:szCs w:val="24"/>
              </w:rPr>
            </w:pPr>
            <w:r>
              <w:rPr>
                <w:rFonts w:ascii="Calibri" w:hAnsi="Calibri"/>
                <w:color w:val="000000"/>
              </w:rPr>
              <w:t>6.65%</w:t>
            </w:r>
          </w:p>
        </w:tc>
      </w:tr>
      <w:bookmarkEnd w:id="18"/>
      <w:bookmarkEnd w:id="19"/>
    </w:tbl>
    <w:p w14:paraId="5588AA62" w14:textId="77777777" w:rsidR="00966B01" w:rsidRDefault="00966B01"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9EB8485" w14:textId="3ABDA302" w:rsidR="00394224"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394224">
        <w:rPr>
          <w:rFonts w:cstheme="minorHAnsi"/>
          <w:bCs/>
        </w:rPr>
        <w:t>)</w:t>
      </w:r>
    </w:p>
    <w:tbl>
      <w:tblPr>
        <w:tblStyle w:val="TableGrid"/>
        <w:tblW w:w="0" w:type="auto"/>
        <w:tblLook w:val="04A0" w:firstRow="1" w:lastRow="0" w:firstColumn="1" w:lastColumn="0" w:noHBand="0" w:noVBand="1"/>
      </w:tblPr>
      <w:tblGrid>
        <w:gridCol w:w="9350"/>
      </w:tblGrid>
      <w:tr w:rsidR="006B2449" w14:paraId="11AF6BA6" w14:textId="77777777" w:rsidTr="006B2449">
        <w:tc>
          <w:tcPr>
            <w:tcW w:w="9350" w:type="dxa"/>
          </w:tcPr>
          <w:p w14:paraId="7C5FA16B" w14:textId="3E5DB1B5" w:rsidR="005B1D7E" w:rsidRPr="005B1D7E" w:rsidRDefault="00BA326E" w:rsidP="0067258C">
            <w:pPr>
              <w:rPr>
                <w:rFonts w:cstheme="minorHAnsi"/>
                <w:bCs/>
              </w:rPr>
            </w:pPr>
            <w:r>
              <w:rPr>
                <w:rFonts w:cstheme="minorHAnsi"/>
                <w:bCs/>
              </w:rPr>
              <w:t xml:space="preserve">The variation in RSIRs (Table </w:t>
            </w:r>
            <w:r w:rsidR="00B333FB">
              <w:rPr>
                <w:rFonts w:cstheme="minorHAnsi"/>
                <w:bCs/>
              </w:rPr>
              <w:t>9</w:t>
            </w:r>
            <w:r>
              <w:rPr>
                <w:rFonts w:cstheme="minorHAnsi"/>
                <w:bCs/>
              </w:rPr>
              <w:t>) suggests that there are meaningful differences in performance measure scores across hospitals.</w:t>
            </w:r>
            <w:r w:rsidR="005B1D7E">
              <w:rPr>
                <w:rFonts w:cstheme="minorHAnsi"/>
                <w:bCs/>
              </w:rPr>
              <w:t xml:space="preserve"> </w:t>
            </w:r>
            <w:r w:rsidR="005B1D7E">
              <w:t xml:space="preserve">The interquartile range represents a difference </w:t>
            </w:r>
            <w:r w:rsidR="00B333FB">
              <w:t>of</w:t>
            </w:r>
            <w:r w:rsidR="005B1D7E">
              <w:t xml:space="preserve"> 18 percentage points, and the difference between the 10</w:t>
            </w:r>
            <w:r w:rsidR="005B1D7E">
              <w:rPr>
                <w:vertAlign w:val="superscript"/>
              </w:rPr>
              <w:t>th</w:t>
            </w:r>
            <w:r w:rsidR="005B1D7E">
              <w:t xml:space="preserve"> and 90</w:t>
            </w:r>
            <w:r w:rsidR="005B1D7E">
              <w:rPr>
                <w:vertAlign w:val="superscript"/>
              </w:rPr>
              <w:t>th</w:t>
            </w:r>
            <w:r w:rsidR="005B1D7E">
              <w:t xml:space="preserve"> percentiles (20.94% and 78.85%, respectively) is just shy of 58 percentage points.  </w:t>
            </w:r>
            <w:r w:rsidR="005B1D7E" w:rsidRPr="00D4528E">
              <w:t>This varia</w:t>
            </w:r>
            <w:r w:rsidR="005B1D7E" w:rsidRPr="007D7382">
              <w:t xml:space="preserve">tion </w:t>
            </w:r>
            <w:r w:rsidR="005B1D7E">
              <w:t>indicates</w:t>
            </w:r>
            <w:r w:rsidR="005B1D7E" w:rsidRPr="007D7382">
              <w:t xml:space="preserve"> an important quality gap</w:t>
            </w:r>
            <w:r w:rsidR="005B1D7E">
              <w:t xml:space="preserve"> among hospitals. </w:t>
            </w:r>
          </w:p>
          <w:p w14:paraId="2677536D" w14:textId="77777777" w:rsidR="00BA326E" w:rsidRDefault="00BA326E" w:rsidP="0067258C">
            <w:pPr>
              <w:autoSpaceDE w:val="0"/>
              <w:autoSpaceDN w:val="0"/>
            </w:pPr>
          </w:p>
          <w:p w14:paraId="1FF83FAC" w14:textId="29D75CF1" w:rsidR="006B2449" w:rsidRDefault="006B2449" w:rsidP="0067258C">
            <w:pPr>
              <w:autoSpaceDE w:val="0"/>
              <w:autoSpaceDN w:val="0"/>
              <w:rPr>
                <w:rFonts w:cstheme="minorHAnsi"/>
                <w:bCs/>
              </w:rPr>
            </w:pPr>
            <w:r>
              <w:t>The median odds ratio (MOR) suggests significant</w:t>
            </w:r>
            <w:r w:rsidR="00BA326E">
              <w:t xml:space="preserve"> and substantial </w:t>
            </w:r>
            <w:r>
              <w:t>increases in the likelihood of SCB improvement</w:t>
            </w:r>
            <w:r w:rsidR="00BA326E">
              <w:t xml:space="preserve"> </w:t>
            </w:r>
            <w:r>
              <w:t>by higher performing hospital</w:t>
            </w:r>
            <w:r w:rsidR="00BA326E">
              <w:t>s</w:t>
            </w:r>
            <w:r>
              <w:t xml:space="preserve"> compared to lower performing hospital</w:t>
            </w:r>
            <w:r w:rsidR="00BA326E">
              <w:t>s</w:t>
            </w:r>
            <w:r>
              <w:t xml:space="preserve">. At the hospital level, the MOR value indicates that a patient is 3.44 times more likely to </w:t>
            </w:r>
            <w:r w:rsidR="00BA326E">
              <w:t xml:space="preserve">achieve SCB improvement </w:t>
            </w:r>
            <w:r>
              <w:t>if the</w:t>
            </w:r>
            <w:r w:rsidR="00BA326E">
              <w:t>ir elective primary THA/TKA</w:t>
            </w:r>
            <w:r>
              <w:t xml:space="preserve"> procedure was performed by a higher performing hospital </w:t>
            </w:r>
            <w:r w:rsidR="00BA326E">
              <w:t>than by</w:t>
            </w:r>
            <w:r>
              <w:t xml:space="preserve"> a lower performing hospital. </w:t>
            </w:r>
          </w:p>
        </w:tc>
      </w:tr>
    </w:tbl>
    <w:p w14:paraId="0CABD00C" w14:textId="42BAF8E7"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704059">
        <w:rPr>
          <w:rFonts w:cstheme="minorHAnsi"/>
          <w:b/>
          <w:bCs/>
          <w:i/>
        </w:rPr>
        <w:t xml:space="preserve">If only one set of specifications, this section can be </w:t>
      </w:r>
      <w:r w:rsidR="00BE592D" w:rsidRPr="00704059">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12F96EBC" w14:textId="21EE867C" w:rsidR="00394224"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394224">
        <w:rPr>
          <w:rFonts w:cstheme="minorHAnsi"/>
          <w:bCs/>
        </w:rPr>
        <w:t>)</w:t>
      </w:r>
    </w:p>
    <w:tbl>
      <w:tblPr>
        <w:tblStyle w:val="TableGrid"/>
        <w:tblW w:w="0" w:type="auto"/>
        <w:tblLook w:val="04A0" w:firstRow="1" w:lastRow="0" w:firstColumn="1" w:lastColumn="0" w:noHBand="0" w:noVBand="1"/>
      </w:tblPr>
      <w:tblGrid>
        <w:gridCol w:w="9350"/>
      </w:tblGrid>
      <w:tr w:rsidR="00394224" w14:paraId="278CC5B7" w14:textId="77777777" w:rsidTr="00062A58">
        <w:tc>
          <w:tcPr>
            <w:tcW w:w="9350" w:type="dxa"/>
          </w:tcPr>
          <w:p w14:paraId="0619D1A8" w14:textId="627E8B63" w:rsidR="00394224" w:rsidRDefault="004D2CE5" w:rsidP="00062A58">
            <w:pPr>
              <w:autoSpaceDE w:val="0"/>
              <w:autoSpaceDN w:val="0"/>
              <w:adjustRightInd w:val="0"/>
              <w:rPr>
                <w:rFonts w:cstheme="minorHAnsi"/>
                <w:bCs/>
              </w:rPr>
            </w:pPr>
            <w:r>
              <w:rPr>
                <w:rFonts w:cstheme="minorHAnsi"/>
                <w:bCs/>
              </w:rPr>
              <w:t>N/A</w:t>
            </w:r>
          </w:p>
        </w:tc>
      </w:tr>
    </w:tbl>
    <w:p w14:paraId="4D45154F" w14:textId="3E061F98" w:rsidR="008174B5" w:rsidRPr="00A25024" w:rsidRDefault="008174B5" w:rsidP="00DB3627">
      <w:pPr>
        <w:pStyle w:val="ListParagraph"/>
        <w:autoSpaceDE w:val="0"/>
        <w:autoSpaceDN w:val="0"/>
        <w:adjustRightInd w:val="0"/>
        <w:spacing w:after="0" w:line="240" w:lineRule="auto"/>
        <w:ind w:left="0"/>
        <w:rPr>
          <w:rFonts w:cstheme="minorHAnsi"/>
          <w:bCs/>
        </w:rPr>
      </w:pPr>
    </w:p>
    <w:p w14:paraId="2903839E" w14:textId="1C3B7566" w:rsidR="00394224"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682666A3" w14:textId="77777777" w:rsidTr="00062A58">
        <w:tc>
          <w:tcPr>
            <w:tcW w:w="9350" w:type="dxa"/>
          </w:tcPr>
          <w:p w14:paraId="06DD0571" w14:textId="049ED1DA" w:rsidR="00394224" w:rsidRDefault="004D2CE5" w:rsidP="00062A58">
            <w:pPr>
              <w:autoSpaceDE w:val="0"/>
              <w:autoSpaceDN w:val="0"/>
              <w:adjustRightInd w:val="0"/>
              <w:rPr>
                <w:rFonts w:cstheme="minorHAnsi"/>
                <w:bCs/>
              </w:rPr>
            </w:pPr>
            <w:r>
              <w:rPr>
                <w:rFonts w:cstheme="minorHAnsi"/>
                <w:bCs/>
              </w:rPr>
              <w:t>N/A</w:t>
            </w:r>
          </w:p>
        </w:tc>
      </w:tr>
    </w:tbl>
    <w:p w14:paraId="0CABD016" w14:textId="73E62EB4" w:rsidR="00E1508F" w:rsidRPr="00E1508F" w:rsidRDefault="00E1508F" w:rsidP="00E1508F">
      <w:pPr>
        <w:autoSpaceDE w:val="0"/>
        <w:autoSpaceDN w:val="0"/>
        <w:adjustRightInd w:val="0"/>
        <w:spacing w:after="0" w:line="240" w:lineRule="auto"/>
        <w:rPr>
          <w:rFonts w:cstheme="minorHAnsi"/>
          <w:bCs/>
        </w:rPr>
      </w:pPr>
    </w:p>
    <w:p w14:paraId="252085C6" w14:textId="4BBFDA30" w:rsidR="00394224"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tbl>
      <w:tblPr>
        <w:tblStyle w:val="TableGrid"/>
        <w:tblW w:w="0" w:type="auto"/>
        <w:tblLook w:val="04A0" w:firstRow="1" w:lastRow="0" w:firstColumn="1" w:lastColumn="0" w:noHBand="0" w:noVBand="1"/>
      </w:tblPr>
      <w:tblGrid>
        <w:gridCol w:w="9350"/>
      </w:tblGrid>
      <w:tr w:rsidR="00394224" w14:paraId="28E6C559" w14:textId="77777777" w:rsidTr="00062A58">
        <w:tc>
          <w:tcPr>
            <w:tcW w:w="9350" w:type="dxa"/>
          </w:tcPr>
          <w:p w14:paraId="6BB8BAE5" w14:textId="084123E4" w:rsidR="00394224" w:rsidRDefault="004D2CE5" w:rsidP="00062A58">
            <w:pPr>
              <w:autoSpaceDE w:val="0"/>
              <w:autoSpaceDN w:val="0"/>
              <w:adjustRightInd w:val="0"/>
              <w:rPr>
                <w:rFonts w:cstheme="minorHAnsi"/>
                <w:bCs/>
              </w:rPr>
            </w:pPr>
            <w:r>
              <w:rPr>
                <w:rFonts w:cstheme="minorHAnsi"/>
                <w:bCs/>
              </w:rPr>
              <w:t>N/A</w:t>
            </w:r>
          </w:p>
        </w:tc>
      </w:tr>
    </w:tbl>
    <w:p w14:paraId="0CABD017" w14:textId="770F6848" w:rsidR="0079180E" w:rsidRDefault="0079180E"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bookmarkStart w:id="20" w:name="_Hlk23496520"/>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DD87484" w14:textId="38AD798E" w:rsidR="00394224"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394224">
        <w:rPr>
          <w:rFonts w:cstheme="minorHAnsi"/>
          <w:bCs/>
        </w:rPr>
        <w:t>)</w:t>
      </w:r>
    </w:p>
    <w:tbl>
      <w:tblPr>
        <w:tblStyle w:val="TableGrid"/>
        <w:tblW w:w="0" w:type="auto"/>
        <w:tblLook w:val="04A0" w:firstRow="1" w:lastRow="0" w:firstColumn="1" w:lastColumn="0" w:noHBand="0" w:noVBand="1"/>
      </w:tblPr>
      <w:tblGrid>
        <w:gridCol w:w="9350"/>
      </w:tblGrid>
      <w:tr w:rsidR="00394224" w14:paraId="32F95728" w14:textId="77777777" w:rsidTr="00062A58">
        <w:tc>
          <w:tcPr>
            <w:tcW w:w="9350" w:type="dxa"/>
          </w:tcPr>
          <w:p w14:paraId="0B8B30C7" w14:textId="2F4F28C0" w:rsidR="003456E1" w:rsidRDefault="00AF0E47" w:rsidP="0082144F">
            <w:pPr>
              <w:autoSpaceDE w:val="0"/>
              <w:autoSpaceDN w:val="0"/>
              <w:adjustRightInd w:val="0"/>
            </w:pPr>
            <w:r w:rsidRPr="0082144F">
              <w:rPr>
                <w:rFonts w:cstheme="minorHAnsi"/>
                <w:bCs/>
              </w:rPr>
              <w:t xml:space="preserve">Due to the </w:t>
            </w:r>
            <w:r w:rsidR="00EC6C40">
              <w:rPr>
                <w:rFonts w:cstheme="minorHAnsi"/>
                <w:bCs/>
              </w:rPr>
              <w:t xml:space="preserve">voluntary </w:t>
            </w:r>
            <w:r w:rsidRPr="0082144F">
              <w:rPr>
                <w:rFonts w:cstheme="minorHAnsi"/>
                <w:bCs/>
              </w:rPr>
              <w:t xml:space="preserve">nature of </w:t>
            </w:r>
            <w:r w:rsidR="00EC6C40">
              <w:rPr>
                <w:rFonts w:cstheme="minorHAnsi"/>
                <w:bCs/>
              </w:rPr>
              <w:t xml:space="preserve">PRO </w:t>
            </w:r>
            <w:r w:rsidRPr="0082144F">
              <w:rPr>
                <w:rFonts w:cstheme="minorHAnsi"/>
                <w:bCs/>
              </w:rPr>
              <w:t xml:space="preserve">survey data, we understand that accounting for potential non-response bias is important for this measure. </w:t>
            </w:r>
            <w:r w:rsidR="003456E1">
              <w:rPr>
                <w:rFonts w:cstheme="minorHAnsi"/>
                <w:bCs/>
              </w:rPr>
              <w:t>With a thorough literature search</w:t>
            </w:r>
            <w:r w:rsidR="00FA3363">
              <w:rPr>
                <w:rFonts w:cstheme="minorHAnsi"/>
                <w:bCs/>
              </w:rPr>
              <w:t>,</w:t>
            </w:r>
            <w:r w:rsidR="003456E1">
              <w:rPr>
                <w:rFonts w:cstheme="minorHAnsi"/>
                <w:bCs/>
              </w:rPr>
              <w:t xml:space="preserve"> we identified several </w:t>
            </w:r>
            <w:r w:rsidR="003456E1">
              <w:t>approaches for missingness (covariates adjustment in regression, submission score adjustment in regression, and stabilized inverse propensity score weighted regression). Following consultation with a statistical expert</w:t>
            </w:r>
            <w:r w:rsidR="00FA3363">
              <w:t xml:space="preserve"> (Sharon-Lise Normand, PhD)</w:t>
            </w:r>
            <w:r w:rsidR="003456E1">
              <w:t>, we decided on addressing potential response bias using stabilized inverse probability weighting, as it would not modify the clinical risk model</w:t>
            </w:r>
            <w:r w:rsidR="003456E1" w:rsidRPr="00FF3FAC">
              <w:t xml:space="preserve">, </w:t>
            </w:r>
            <w:r w:rsidR="00933FDD" w:rsidRPr="00FF3FAC">
              <w:t xml:space="preserve">and would </w:t>
            </w:r>
            <w:r w:rsidR="003456E1" w:rsidRPr="00FF3FAC">
              <w:t>n</w:t>
            </w:r>
            <w:r w:rsidR="00933FDD" w:rsidRPr="00FF3FAC">
              <w:t>ot assume</w:t>
            </w:r>
            <w:r w:rsidR="003456E1" w:rsidRPr="00FF3FAC">
              <w:t xml:space="preserve"> the form of </w:t>
            </w:r>
            <w:r w:rsidR="00B30FB0">
              <w:t xml:space="preserve">a </w:t>
            </w:r>
            <w:r w:rsidR="003456E1" w:rsidRPr="00FF3FAC">
              <w:t>relationship between submission score and outcome</w:t>
            </w:r>
            <w:r w:rsidR="003456E1">
              <w:t xml:space="preserve"> (as suggested by Garrido 2016; Thoemmes and Ong 2016). </w:t>
            </w:r>
          </w:p>
          <w:p w14:paraId="6E216092" w14:textId="77777777" w:rsidR="003456E1" w:rsidRDefault="003456E1" w:rsidP="0082144F">
            <w:pPr>
              <w:autoSpaceDE w:val="0"/>
              <w:autoSpaceDN w:val="0"/>
              <w:adjustRightInd w:val="0"/>
            </w:pPr>
          </w:p>
          <w:p w14:paraId="6DBD6304" w14:textId="778F0D40" w:rsidR="00394224" w:rsidRPr="0082144F" w:rsidRDefault="003456E1" w:rsidP="0082144F">
            <w:pPr>
              <w:autoSpaceDE w:val="0"/>
              <w:autoSpaceDN w:val="0"/>
              <w:adjustRightInd w:val="0"/>
              <w:rPr>
                <w:rFonts w:cstheme="minorHAnsi"/>
                <w:bCs/>
              </w:rPr>
            </w:pPr>
            <w:r>
              <w:t xml:space="preserve">For this approach, </w:t>
            </w:r>
            <w:r w:rsidR="00AF0E47" w:rsidRPr="0082144F">
              <w:rPr>
                <w:rFonts w:cstheme="minorHAnsi"/>
                <w:bCs/>
              </w:rPr>
              <w:t>we performed the following steps:</w:t>
            </w:r>
          </w:p>
          <w:p w14:paraId="72157F04" w14:textId="6E62DE20" w:rsidR="00AF0E47" w:rsidRPr="0082144F" w:rsidRDefault="00AF0E47" w:rsidP="0082144F">
            <w:pPr>
              <w:pStyle w:val="ListParagraph"/>
              <w:numPr>
                <w:ilvl w:val="0"/>
                <w:numId w:val="32"/>
              </w:numPr>
              <w:autoSpaceDE w:val="0"/>
              <w:autoSpaceDN w:val="0"/>
              <w:adjustRightInd w:val="0"/>
              <w:rPr>
                <w:rFonts w:cstheme="minorHAnsi"/>
                <w:bCs/>
              </w:rPr>
            </w:pPr>
            <w:r w:rsidRPr="0082144F">
              <w:rPr>
                <w:rFonts w:cstheme="minorHAnsi"/>
                <w:bCs/>
              </w:rPr>
              <w:t xml:space="preserve">All eligible </w:t>
            </w:r>
            <w:r w:rsidR="00583C3B">
              <w:rPr>
                <w:rFonts w:cstheme="minorHAnsi"/>
                <w:bCs/>
              </w:rPr>
              <w:t xml:space="preserve">THA/TKA </w:t>
            </w:r>
            <w:r w:rsidRPr="0082144F">
              <w:rPr>
                <w:rFonts w:cstheme="minorHAnsi"/>
                <w:bCs/>
              </w:rPr>
              <w:t xml:space="preserve">procedures </w:t>
            </w:r>
            <w:r w:rsidR="00583C3B">
              <w:rPr>
                <w:rFonts w:cstheme="minorHAnsi"/>
                <w:bCs/>
              </w:rPr>
              <w:t xml:space="preserve">performed during the measurement period at the 238 hospitals submitting complete PRO and risk variable data for at least one of these procedures </w:t>
            </w:r>
            <w:r w:rsidRPr="0082144F">
              <w:rPr>
                <w:rFonts w:cstheme="minorHAnsi"/>
                <w:bCs/>
              </w:rPr>
              <w:t>were identified via CMS claims data (</w:t>
            </w:r>
            <w:r w:rsidR="00583C3B">
              <w:rPr>
                <w:rFonts w:cstheme="minorHAnsi"/>
                <w:bCs/>
              </w:rPr>
              <w:t xml:space="preserve">“complete PRO submission,” </w:t>
            </w:r>
            <w:r w:rsidRPr="0082144F">
              <w:rPr>
                <w:rFonts w:cstheme="minorHAnsi"/>
                <w:bCs/>
              </w:rPr>
              <w:t>N=39,</w:t>
            </w:r>
            <w:r w:rsidR="007D7382" w:rsidRPr="0082144F">
              <w:rPr>
                <w:rFonts w:cstheme="minorHAnsi"/>
                <w:bCs/>
              </w:rPr>
              <w:t>356</w:t>
            </w:r>
            <w:r w:rsidRPr="0082144F">
              <w:rPr>
                <w:rFonts w:cstheme="minorHAnsi"/>
                <w:bCs/>
              </w:rPr>
              <w:t xml:space="preserve"> procedures)</w:t>
            </w:r>
            <w:r w:rsidR="00A340CF">
              <w:rPr>
                <w:rFonts w:cstheme="minorHAnsi"/>
                <w:bCs/>
              </w:rPr>
              <w:t>.</w:t>
            </w:r>
          </w:p>
          <w:p w14:paraId="06F5EAE4" w14:textId="5EF6AC6E" w:rsidR="007D7382" w:rsidRPr="0082144F" w:rsidRDefault="00583C3B" w:rsidP="0082144F">
            <w:pPr>
              <w:pStyle w:val="ListParagraph"/>
              <w:numPr>
                <w:ilvl w:val="0"/>
                <w:numId w:val="32"/>
              </w:numPr>
              <w:autoSpaceDE w:val="0"/>
              <w:autoSpaceDN w:val="0"/>
              <w:adjustRightInd w:val="0"/>
              <w:rPr>
                <w:rFonts w:cstheme="minorHAnsi"/>
                <w:bCs/>
              </w:rPr>
            </w:pPr>
            <w:r>
              <w:rPr>
                <w:rFonts w:cstheme="minorHAnsi"/>
                <w:bCs/>
              </w:rPr>
              <w:t>These</w:t>
            </w:r>
            <w:r w:rsidR="007D7382" w:rsidRPr="0082144F">
              <w:rPr>
                <w:rFonts w:cstheme="minorHAnsi"/>
                <w:bCs/>
              </w:rPr>
              <w:t xml:space="preserve"> eligible </w:t>
            </w:r>
            <w:r>
              <w:rPr>
                <w:rFonts w:cstheme="minorHAnsi"/>
                <w:bCs/>
              </w:rPr>
              <w:t xml:space="preserve">THA/TKA </w:t>
            </w:r>
            <w:r w:rsidR="007D7382" w:rsidRPr="0082144F">
              <w:rPr>
                <w:rFonts w:cstheme="minorHAnsi"/>
                <w:bCs/>
              </w:rPr>
              <w:t xml:space="preserve">procedures were categorized into one of three </w:t>
            </w:r>
            <w:r w:rsidR="00735B3C">
              <w:rPr>
                <w:rFonts w:cstheme="minorHAnsi"/>
                <w:bCs/>
              </w:rPr>
              <w:t xml:space="preserve">PRO response </w:t>
            </w:r>
            <w:r w:rsidR="007D7382" w:rsidRPr="0082144F">
              <w:rPr>
                <w:rFonts w:cstheme="minorHAnsi"/>
                <w:bCs/>
              </w:rPr>
              <w:t>groups:</w:t>
            </w:r>
          </w:p>
          <w:p w14:paraId="7E16D8C9" w14:textId="1A7C54A7" w:rsidR="007D7382" w:rsidRPr="0082144F" w:rsidRDefault="00583C3B" w:rsidP="0082144F">
            <w:pPr>
              <w:pStyle w:val="ListParagraph"/>
              <w:numPr>
                <w:ilvl w:val="0"/>
                <w:numId w:val="33"/>
              </w:numPr>
              <w:autoSpaceDE w:val="0"/>
              <w:autoSpaceDN w:val="0"/>
              <w:adjustRightInd w:val="0"/>
              <w:rPr>
                <w:rFonts w:cstheme="minorHAnsi"/>
                <w:bCs/>
              </w:rPr>
            </w:pPr>
            <w:r>
              <w:rPr>
                <w:rFonts w:cstheme="minorHAnsi"/>
                <w:bCs/>
              </w:rPr>
              <w:t>Procedures for which c</w:t>
            </w:r>
            <w:r w:rsidR="007D7382" w:rsidRPr="0082144F">
              <w:rPr>
                <w:rFonts w:cstheme="minorHAnsi"/>
                <w:bCs/>
              </w:rPr>
              <w:t>omplete PRO</w:t>
            </w:r>
            <w:r>
              <w:rPr>
                <w:rFonts w:cstheme="minorHAnsi"/>
                <w:bCs/>
              </w:rPr>
              <w:t xml:space="preserve"> and risk variable preoperative data and complete PRO postoperative data were submitted</w:t>
            </w:r>
            <w:r w:rsidR="007D7382" w:rsidRPr="0082144F">
              <w:rPr>
                <w:rFonts w:cstheme="minorHAnsi"/>
                <w:bCs/>
              </w:rPr>
              <w:t xml:space="preserve"> (</w:t>
            </w:r>
            <w:r>
              <w:rPr>
                <w:rFonts w:cstheme="minorHAnsi"/>
                <w:bCs/>
              </w:rPr>
              <w:t xml:space="preserve">“complete PRO submission,” </w:t>
            </w:r>
            <w:r w:rsidR="007D7382" w:rsidRPr="0082144F">
              <w:rPr>
                <w:rFonts w:cstheme="minorHAnsi"/>
                <w:bCs/>
              </w:rPr>
              <w:t>N=11,270)</w:t>
            </w:r>
            <w:r w:rsidR="00A340CF">
              <w:rPr>
                <w:rFonts w:cstheme="minorHAnsi"/>
                <w:bCs/>
              </w:rPr>
              <w:t>.</w:t>
            </w:r>
          </w:p>
          <w:p w14:paraId="075E434D" w14:textId="4DE0423C" w:rsidR="007D7382" w:rsidRPr="0082144F" w:rsidRDefault="00583C3B" w:rsidP="0082144F">
            <w:pPr>
              <w:pStyle w:val="ListParagraph"/>
              <w:numPr>
                <w:ilvl w:val="0"/>
                <w:numId w:val="33"/>
              </w:numPr>
              <w:autoSpaceDE w:val="0"/>
              <w:autoSpaceDN w:val="0"/>
              <w:adjustRightInd w:val="0"/>
              <w:rPr>
                <w:rFonts w:cstheme="minorHAnsi"/>
                <w:bCs/>
              </w:rPr>
            </w:pPr>
            <w:r>
              <w:rPr>
                <w:rFonts w:cstheme="minorHAnsi"/>
                <w:bCs/>
              </w:rPr>
              <w:t>Procedures for which i</w:t>
            </w:r>
            <w:r w:rsidR="007D7382" w:rsidRPr="0082144F">
              <w:rPr>
                <w:rFonts w:cstheme="minorHAnsi"/>
                <w:bCs/>
              </w:rPr>
              <w:t xml:space="preserve">ncomplete PRO </w:t>
            </w:r>
            <w:r>
              <w:rPr>
                <w:rFonts w:cstheme="minorHAnsi"/>
                <w:bCs/>
              </w:rPr>
              <w:t>and risk variable data were submitted (including submissions with missing data elements and submissions of only preoperative PRO data or only postoperative</w:t>
            </w:r>
            <w:r w:rsidR="007D7382" w:rsidRPr="0082144F">
              <w:rPr>
                <w:rFonts w:cstheme="minorHAnsi"/>
                <w:bCs/>
              </w:rPr>
              <w:t xml:space="preserve"> PRO data (</w:t>
            </w:r>
            <w:r w:rsidR="00937135">
              <w:rPr>
                <w:rFonts w:cstheme="minorHAnsi"/>
                <w:bCs/>
              </w:rPr>
              <w:t xml:space="preserve">“incomplete PRO submission,” </w:t>
            </w:r>
            <w:r w:rsidR="007D7382" w:rsidRPr="0082144F">
              <w:rPr>
                <w:rFonts w:cstheme="minorHAnsi"/>
                <w:bCs/>
              </w:rPr>
              <w:t>N=10,133)</w:t>
            </w:r>
            <w:r w:rsidR="00A340CF">
              <w:rPr>
                <w:rFonts w:cstheme="minorHAnsi"/>
                <w:bCs/>
              </w:rPr>
              <w:t>.</w:t>
            </w:r>
          </w:p>
          <w:p w14:paraId="7B15F935" w14:textId="32B553EE" w:rsidR="007D7382" w:rsidRPr="0082144F" w:rsidRDefault="00583C3B" w:rsidP="0082144F">
            <w:pPr>
              <w:pStyle w:val="ListParagraph"/>
              <w:numPr>
                <w:ilvl w:val="0"/>
                <w:numId w:val="33"/>
              </w:numPr>
              <w:autoSpaceDE w:val="0"/>
              <w:autoSpaceDN w:val="0"/>
              <w:adjustRightInd w:val="0"/>
              <w:rPr>
                <w:rFonts w:cstheme="minorHAnsi"/>
                <w:bCs/>
              </w:rPr>
            </w:pPr>
            <w:r>
              <w:rPr>
                <w:rFonts w:cstheme="minorHAnsi"/>
                <w:bCs/>
              </w:rPr>
              <w:t>Procedures for which no PRO data were submitted</w:t>
            </w:r>
            <w:r w:rsidR="007D7382" w:rsidRPr="0082144F">
              <w:rPr>
                <w:rFonts w:cstheme="minorHAnsi"/>
                <w:bCs/>
              </w:rPr>
              <w:t xml:space="preserve"> (</w:t>
            </w:r>
            <w:r>
              <w:rPr>
                <w:rFonts w:cstheme="minorHAnsi"/>
                <w:bCs/>
              </w:rPr>
              <w:t xml:space="preserve">“no response,” </w:t>
            </w:r>
            <w:r w:rsidR="007D7382" w:rsidRPr="0082144F">
              <w:rPr>
                <w:rFonts w:cstheme="minorHAnsi"/>
                <w:bCs/>
              </w:rPr>
              <w:t>N=17,953)</w:t>
            </w:r>
            <w:r w:rsidR="00A340CF">
              <w:rPr>
                <w:rFonts w:cstheme="minorHAnsi"/>
                <w:bCs/>
              </w:rPr>
              <w:t>.</w:t>
            </w:r>
          </w:p>
          <w:p w14:paraId="06A20EF1" w14:textId="31A27BB3" w:rsidR="007D7382" w:rsidRPr="0082144F" w:rsidRDefault="00583C3B" w:rsidP="0082144F">
            <w:pPr>
              <w:pStyle w:val="ListParagraph"/>
              <w:numPr>
                <w:ilvl w:val="0"/>
                <w:numId w:val="32"/>
              </w:numPr>
              <w:autoSpaceDE w:val="0"/>
              <w:autoSpaceDN w:val="0"/>
              <w:adjustRightInd w:val="0"/>
              <w:rPr>
                <w:rFonts w:cstheme="minorHAnsi"/>
                <w:bCs/>
              </w:rPr>
            </w:pPr>
            <w:r>
              <w:rPr>
                <w:rFonts w:cstheme="minorHAnsi"/>
                <w:bCs/>
              </w:rPr>
              <w:t xml:space="preserve">We </w:t>
            </w:r>
            <w:r w:rsidR="00735B3C">
              <w:rPr>
                <w:rFonts w:cstheme="minorHAnsi"/>
                <w:bCs/>
              </w:rPr>
              <w:t>c</w:t>
            </w:r>
            <w:r w:rsidR="007D7382" w:rsidRPr="0082144F">
              <w:rPr>
                <w:rFonts w:cstheme="minorHAnsi"/>
                <w:bCs/>
              </w:rPr>
              <w:t xml:space="preserve">ompared patient characteristics </w:t>
            </w:r>
            <w:r w:rsidR="00735B3C">
              <w:rPr>
                <w:rFonts w:cstheme="minorHAnsi"/>
                <w:bCs/>
              </w:rPr>
              <w:t xml:space="preserve">and clinical comorbidities </w:t>
            </w:r>
            <w:r w:rsidR="007D7382" w:rsidRPr="0082144F">
              <w:rPr>
                <w:rFonts w:cstheme="minorHAnsi"/>
                <w:bCs/>
              </w:rPr>
              <w:t xml:space="preserve">across the three </w:t>
            </w:r>
            <w:r w:rsidR="00735B3C">
              <w:rPr>
                <w:rFonts w:cstheme="minorHAnsi"/>
                <w:bCs/>
              </w:rPr>
              <w:t xml:space="preserve">PRO response </w:t>
            </w:r>
            <w:r w:rsidR="007D7382" w:rsidRPr="0082144F">
              <w:rPr>
                <w:rFonts w:cstheme="minorHAnsi"/>
                <w:bCs/>
              </w:rPr>
              <w:t>groups and determined there were statistical differences in case-mix.</w:t>
            </w:r>
          </w:p>
          <w:p w14:paraId="7BB3B79C" w14:textId="4A5121EA" w:rsidR="00AE3091" w:rsidRPr="0082144F" w:rsidRDefault="00735B3C" w:rsidP="003504E2">
            <w:pPr>
              <w:pStyle w:val="ListParagraph"/>
              <w:numPr>
                <w:ilvl w:val="0"/>
                <w:numId w:val="32"/>
              </w:numPr>
              <w:autoSpaceDE w:val="0"/>
              <w:autoSpaceDN w:val="0"/>
              <w:adjustRightInd w:val="0"/>
              <w:rPr>
                <w:rFonts w:cstheme="minorHAnsi"/>
                <w:bCs/>
              </w:rPr>
            </w:pPr>
            <w:r>
              <w:rPr>
                <w:rFonts w:cstheme="minorHAnsi"/>
                <w:bCs/>
              </w:rPr>
              <w:t xml:space="preserve">We conducted a </w:t>
            </w:r>
            <w:r w:rsidR="00AE3091" w:rsidRPr="0082144F">
              <w:rPr>
                <w:rFonts w:cstheme="minorHAnsi"/>
                <w:bCs/>
              </w:rPr>
              <w:t>literature</w:t>
            </w:r>
            <w:r>
              <w:rPr>
                <w:rFonts w:cstheme="minorHAnsi"/>
                <w:bCs/>
              </w:rPr>
              <w:t xml:space="preserve"> review and</w:t>
            </w:r>
            <w:r w:rsidR="00AE3091" w:rsidRPr="0082144F">
              <w:rPr>
                <w:rFonts w:cstheme="minorHAnsi"/>
                <w:bCs/>
              </w:rPr>
              <w:t xml:space="preserve"> identified the following variables associated with </w:t>
            </w:r>
            <w:r>
              <w:rPr>
                <w:rFonts w:cstheme="minorHAnsi"/>
                <w:bCs/>
              </w:rPr>
              <w:t xml:space="preserve">unit </w:t>
            </w:r>
            <w:r w:rsidR="00AE3091" w:rsidRPr="0082144F">
              <w:rPr>
                <w:rFonts w:cstheme="minorHAnsi"/>
                <w:bCs/>
              </w:rPr>
              <w:t>non-response</w:t>
            </w:r>
            <w:r>
              <w:rPr>
                <w:rFonts w:cstheme="minorHAnsi"/>
                <w:bCs/>
              </w:rPr>
              <w:t xml:space="preserve"> to PROM survey data that were also available in our data</w:t>
            </w:r>
            <w:r w:rsidR="00AE3091" w:rsidRPr="0082144F">
              <w:rPr>
                <w:rFonts w:cstheme="minorHAnsi"/>
                <w:bCs/>
              </w:rPr>
              <w:t xml:space="preserve">: age, sex, </w:t>
            </w:r>
            <w:r>
              <w:rPr>
                <w:rFonts w:cstheme="minorHAnsi"/>
                <w:bCs/>
              </w:rPr>
              <w:t xml:space="preserve">race, low socioeconomic status, and post-operative </w:t>
            </w:r>
            <w:r w:rsidR="00AE3091" w:rsidRPr="0082144F">
              <w:rPr>
                <w:rFonts w:cstheme="minorHAnsi"/>
                <w:bCs/>
              </w:rPr>
              <w:t>complication f</w:t>
            </w:r>
            <w:r>
              <w:rPr>
                <w:rFonts w:cstheme="minorHAnsi"/>
                <w:bCs/>
              </w:rPr>
              <w:t>ollowing</w:t>
            </w:r>
            <w:r w:rsidR="00AE3091" w:rsidRPr="0082144F">
              <w:rPr>
                <w:rFonts w:cstheme="minorHAnsi"/>
                <w:bCs/>
              </w:rPr>
              <w:t xml:space="preserve"> hip or knee procedure</w:t>
            </w:r>
            <w:r>
              <w:rPr>
                <w:rFonts w:cstheme="minorHAnsi"/>
                <w:bCs/>
              </w:rPr>
              <w:t>s (Hutchings et al, 2012;</w:t>
            </w:r>
            <w:r w:rsidR="00CA5D4B">
              <w:rPr>
                <w:rFonts w:cstheme="minorHAnsi"/>
                <w:bCs/>
              </w:rPr>
              <w:t xml:space="preserve"> de Rooij et al, 2018)</w:t>
            </w:r>
            <w:r>
              <w:rPr>
                <w:rFonts w:cstheme="minorHAnsi"/>
                <w:bCs/>
              </w:rPr>
              <w:t>; Patel et al, 2015; Schamber et al, 2013)</w:t>
            </w:r>
            <w:r w:rsidR="00A340CF">
              <w:rPr>
                <w:rFonts w:cstheme="minorHAnsi"/>
                <w:bCs/>
              </w:rPr>
              <w:t>.</w:t>
            </w:r>
          </w:p>
          <w:p w14:paraId="28B622A8" w14:textId="30C7AD87" w:rsidR="00AE3091" w:rsidRPr="0082144F" w:rsidRDefault="00AE3091" w:rsidP="003504E2">
            <w:pPr>
              <w:pStyle w:val="ListParagraph"/>
              <w:numPr>
                <w:ilvl w:val="0"/>
                <w:numId w:val="32"/>
              </w:numPr>
              <w:autoSpaceDE w:val="0"/>
              <w:autoSpaceDN w:val="0"/>
              <w:adjustRightInd w:val="0"/>
              <w:rPr>
                <w:rFonts w:cstheme="minorHAnsi"/>
                <w:bCs/>
              </w:rPr>
            </w:pPr>
            <w:r w:rsidRPr="0082144F">
              <w:rPr>
                <w:rFonts w:cstheme="minorHAnsi"/>
                <w:bCs/>
              </w:rPr>
              <w:t xml:space="preserve">Additional variables associated with </w:t>
            </w:r>
            <w:r w:rsidR="0065681B">
              <w:rPr>
                <w:rFonts w:cstheme="minorHAnsi"/>
                <w:bCs/>
              </w:rPr>
              <w:t xml:space="preserve">PRO </w:t>
            </w:r>
            <w:r w:rsidRPr="0082144F">
              <w:rPr>
                <w:rFonts w:cstheme="minorHAnsi"/>
                <w:bCs/>
              </w:rPr>
              <w:t xml:space="preserve">submission </w:t>
            </w:r>
            <w:r w:rsidR="0065681B">
              <w:rPr>
                <w:rFonts w:cstheme="minorHAnsi"/>
                <w:bCs/>
              </w:rPr>
              <w:t xml:space="preserve">in our data </w:t>
            </w:r>
            <w:r w:rsidRPr="0082144F">
              <w:rPr>
                <w:rFonts w:cstheme="minorHAnsi"/>
                <w:bCs/>
              </w:rPr>
              <w:t>were identified through multinomial logistic stepwise regression.</w:t>
            </w:r>
            <w:r w:rsidR="00E422FA">
              <w:rPr>
                <w:rFonts w:cstheme="minorHAnsi"/>
                <w:bCs/>
              </w:rPr>
              <w:t xml:space="preserve"> </w:t>
            </w:r>
          </w:p>
          <w:p w14:paraId="28354E98" w14:textId="20B8179F" w:rsidR="00AE3091" w:rsidRPr="0082144F" w:rsidRDefault="00AE3091" w:rsidP="003504E2">
            <w:pPr>
              <w:pStyle w:val="ListParagraph"/>
              <w:numPr>
                <w:ilvl w:val="0"/>
                <w:numId w:val="32"/>
              </w:numPr>
              <w:autoSpaceDE w:val="0"/>
              <w:autoSpaceDN w:val="0"/>
              <w:adjustRightInd w:val="0"/>
              <w:rPr>
                <w:rFonts w:cstheme="minorHAnsi"/>
                <w:bCs/>
              </w:rPr>
            </w:pPr>
            <w:r w:rsidRPr="0082144F">
              <w:rPr>
                <w:rFonts w:cstheme="minorHAnsi"/>
                <w:bCs/>
              </w:rPr>
              <w:t>Propensity scores were calculated using a multinomial logistic regression where the outcome was 1) complete PRO submission, 2) incomplete PRO submission, and 3) no response</w:t>
            </w:r>
            <w:r w:rsidR="00A340CF">
              <w:rPr>
                <w:rFonts w:cstheme="minorHAnsi"/>
                <w:bCs/>
              </w:rPr>
              <w:t>.</w:t>
            </w:r>
          </w:p>
          <w:p w14:paraId="29D0C9B9" w14:textId="7861306B" w:rsidR="005000DF" w:rsidRPr="007837AA" w:rsidRDefault="00AE3091" w:rsidP="005000DF">
            <w:pPr>
              <w:pStyle w:val="ListParagraph"/>
              <w:numPr>
                <w:ilvl w:val="0"/>
                <w:numId w:val="32"/>
              </w:numPr>
              <w:autoSpaceDE w:val="0"/>
              <w:autoSpaceDN w:val="0"/>
              <w:adjustRightInd w:val="0"/>
              <w:rPr>
                <w:rFonts w:cstheme="minorHAnsi"/>
                <w:bCs/>
              </w:rPr>
            </w:pPr>
            <w:r w:rsidRPr="0082144F">
              <w:rPr>
                <w:rFonts w:cstheme="minorHAnsi"/>
                <w:bCs/>
              </w:rPr>
              <w:t>Stabilized Inverse Probability Weights (IPW) were calculated for each of the three groups</w:t>
            </w:r>
            <w:r w:rsidR="005000DF">
              <w:rPr>
                <w:rFonts w:cstheme="minorHAnsi"/>
                <w:bCs/>
              </w:rPr>
              <w:t xml:space="preserve">.   For the complete responders, the stabilized weights were calculated using the following formula: </w:t>
            </w:r>
            <m:oMath>
              <m:f>
                <m:fPr>
                  <m:ctrlPr>
                    <w:rPr>
                      <w:rFonts w:ascii="Cambria Math" w:hAnsi="Cambria Math" w:cstheme="minorHAnsi"/>
                      <w:bCs/>
                      <w:i/>
                    </w:rPr>
                  </m:ctrlPr>
                </m:fPr>
                <m:num>
                  <m:r>
                    <w:rPr>
                      <w:rFonts w:ascii="Cambria Math" w:hAnsi="Cambria Math" w:cstheme="minorHAnsi"/>
                    </w:rPr>
                    <m:t>P(Z=1)</m:t>
                  </m:r>
                </m:num>
                <m:den>
                  <m:r>
                    <w:rPr>
                      <w:rFonts w:ascii="Cambria Math" w:hAnsi="Cambria Math" w:cstheme="minorHAnsi"/>
                    </w:rPr>
                    <m:t>P(Z=1|x)</m:t>
                  </m:r>
                </m:den>
              </m:f>
            </m:oMath>
            <w:r w:rsidR="005000DF">
              <w:rPr>
                <w:rFonts w:cstheme="minorHAnsi"/>
                <w:bCs/>
              </w:rPr>
              <w:t xml:space="preserve"> where </w:t>
            </w:r>
            <m:oMath>
              <m:r>
                <w:rPr>
                  <w:rFonts w:ascii="Cambria Math" w:hAnsi="Cambria Math" w:cstheme="minorHAnsi"/>
                </w:rPr>
                <m:t>(Z=1)</m:t>
              </m:r>
            </m:oMath>
            <w:r w:rsidR="005000DF">
              <w:rPr>
                <w:rFonts w:cstheme="minorHAnsi"/>
                <w:bCs/>
              </w:rPr>
              <w:t xml:space="preserve"> represents the complete responders. Stabilized weights </w:t>
            </w:r>
            <w:r w:rsidR="005000DF">
              <w:rPr>
                <w:rFonts w:cstheme="minorHAnsi"/>
                <w:bCs/>
              </w:rPr>
              <w:lastRenderedPageBreak/>
              <w:t xml:space="preserve">produce estimates with smaller variance and less extreme values compared to using the standard non-stabilized weights calculated in the following way:  </w:t>
            </w:r>
            <m:oMath>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P(Z=1|x)</m:t>
                  </m:r>
                </m:den>
              </m:f>
            </m:oMath>
            <w:r w:rsidR="005000DF">
              <w:rPr>
                <w:rFonts w:cstheme="minorHAnsi"/>
                <w:bCs/>
              </w:rPr>
              <w:t xml:space="preserve">. </w:t>
            </w:r>
            <w:r w:rsidR="005000DF" w:rsidRPr="004B391E">
              <w:rPr>
                <w:rFonts w:cstheme="minorHAnsi"/>
                <w:bCs/>
              </w:rPr>
              <w:t>Table</w:t>
            </w:r>
            <w:r w:rsidR="0067258C">
              <w:rPr>
                <w:rFonts w:cstheme="minorHAnsi"/>
                <w:bCs/>
              </w:rPr>
              <w:t xml:space="preserve"> 1</w:t>
            </w:r>
            <w:r w:rsidR="00953B46">
              <w:rPr>
                <w:rFonts w:cstheme="minorHAnsi"/>
                <w:bCs/>
              </w:rPr>
              <w:t>2</w:t>
            </w:r>
            <w:r w:rsidR="005000DF">
              <w:rPr>
                <w:rFonts w:cstheme="minorHAnsi"/>
                <w:bCs/>
              </w:rPr>
              <w:t xml:space="preserve"> </w:t>
            </w:r>
            <w:r w:rsidR="004B391E">
              <w:rPr>
                <w:rFonts w:cstheme="minorHAnsi"/>
                <w:bCs/>
              </w:rPr>
              <w:t>provides the</w:t>
            </w:r>
            <w:r w:rsidR="005000DF">
              <w:rPr>
                <w:rFonts w:cstheme="minorHAnsi"/>
                <w:bCs/>
              </w:rPr>
              <w:t xml:space="preserve"> distribution of the stabilized weights with mean 1.00 and standard deviation of 0.26.</w:t>
            </w:r>
          </w:p>
          <w:p w14:paraId="0E5B6A9A" w14:textId="4352E94B" w:rsidR="00AE3091" w:rsidRPr="004B391E" w:rsidRDefault="00AE3091" w:rsidP="004B391E">
            <w:pPr>
              <w:pStyle w:val="ListParagraph"/>
              <w:numPr>
                <w:ilvl w:val="0"/>
                <w:numId w:val="32"/>
              </w:numPr>
              <w:autoSpaceDE w:val="0"/>
              <w:autoSpaceDN w:val="0"/>
              <w:adjustRightInd w:val="0"/>
              <w:rPr>
                <w:rFonts w:cstheme="minorHAnsi"/>
                <w:bCs/>
              </w:rPr>
            </w:pPr>
            <w:r w:rsidRPr="004B391E">
              <w:rPr>
                <w:rFonts w:cstheme="minorHAnsi"/>
                <w:bCs/>
              </w:rPr>
              <w:t xml:space="preserve">The stabilized IPW were incorporated into the hierarchical </w:t>
            </w:r>
            <w:r w:rsidR="0065681B" w:rsidRPr="004B391E">
              <w:rPr>
                <w:rFonts w:cstheme="minorHAnsi"/>
                <w:bCs/>
              </w:rPr>
              <w:t xml:space="preserve">risk-adjustment </w:t>
            </w:r>
            <w:r w:rsidRPr="004B391E">
              <w:rPr>
                <w:rFonts w:cstheme="minorHAnsi"/>
                <w:bCs/>
              </w:rPr>
              <w:t>model</w:t>
            </w:r>
            <w:r w:rsidR="0065681B" w:rsidRPr="004B391E">
              <w:rPr>
                <w:rFonts w:cstheme="minorHAnsi"/>
                <w:bCs/>
              </w:rPr>
              <w:t xml:space="preserve"> for SCB improvement following elective primary THA/TKA</w:t>
            </w:r>
            <w:r w:rsidRPr="004B391E">
              <w:rPr>
                <w:rFonts w:cstheme="minorHAnsi"/>
                <w:bCs/>
              </w:rPr>
              <w:t xml:space="preserve"> and used in calculation of the risk-adjusted and bias-adjusted RSIRs</w:t>
            </w:r>
            <w:r w:rsidR="00A340CF">
              <w:rPr>
                <w:rFonts w:cstheme="minorHAnsi"/>
                <w:bCs/>
              </w:rPr>
              <w:t>.</w:t>
            </w:r>
          </w:p>
          <w:p w14:paraId="65536DF8" w14:textId="6504D05A" w:rsidR="00AE3091" w:rsidRDefault="00AE3091" w:rsidP="0082144F">
            <w:pPr>
              <w:autoSpaceDE w:val="0"/>
              <w:autoSpaceDN w:val="0"/>
              <w:adjustRightInd w:val="0"/>
              <w:rPr>
                <w:rFonts w:cstheme="minorHAnsi"/>
                <w:bCs/>
              </w:rPr>
            </w:pPr>
          </w:p>
          <w:p w14:paraId="49153DBD" w14:textId="3B3CA387" w:rsidR="004B391E" w:rsidRDefault="00AE3091" w:rsidP="004B391E">
            <w:pPr>
              <w:autoSpaceDE w:val="0"/>
              <w:autoSpaceDN w:val="0"/>
              <w:adjustRightInd w:val="0"/>
              <w:rPr>
                <w:rFonts w:cstheme="minorHAnsi"/>
                <w:bCs/>
              </w:rPr>
            </w:pPr>
            <w:r w:rsidRPr="0082144F">
              <w:rPr>
                <w:rFonts w:cstheme="minorHAnsi"/>
                <w:bCs/>
              </w:rPr>
              <w:t xml:space="preserve">Incorporating the stabilized weights in the calculation of the RSIRs </w:t>
            </w:r>
            <w:r w:rsidR="00A41C92" w:rsidRPr="0082144F">
              <w:rPr>
                <w:rFonts w:cstheme="minorHAnsi"/>
                <w:bCs/>
              </w:rPr>
              <w:t>helps to reduce bias due to non-response by giving higher weight to patients who were less likely to respon</w:t>
            </w:r>
            <w:r w:rsidR="004B391E">
              <w:rPr>
                <w:rFonts w:cstheme="minorHAnsi"/>
                <w:bCs/>
              </w:rPr>
              <w:t>d</w:t>
            </w:r>
            <w:r w:rsidR="00A41C92" w:rsidRPr="0082144F">
              <w:rPr>
                <w:rFonts w:cstheme="minorHAnsi"/>
                <w:bCs/>
              </w:rPr>
              <w:t xml:space="preserve"> and deflating </w:t>
            </w:r>
            <w:r w:rsidR="004B391E">
              <w:rPr>
                <w:rFonts w:cstheme="minorHAnsi"/>
                <w:bCs/>
              </w:rPr>
              <w:t xml:space="preserve">the weight of </w:t>
            </w:r>
            <w:r w:rsidR="00A41C92" w:rsidRPr="0082144F">
              <w:rPr>
                <w:rFonts w:cstheme="minorHAnsi"/>
                <w:bCs/>
              </w:rPr>
              <w:t xml:space="preserve">patients </w:t>
            </w:r>
            <w:r w:rsidR="004B391E">
              <w:rPr>
                <w:rFonts w:cstheme="minorHAnsi"/>
                <w:bCs/>
              </w:rPr>
              <w:t>who</w:t>
            </w:r>
            <w:r w:rsidR="00A41C92" w:rsidRPr="0082144F">
              <w:rPr>
                <w:rFonts w:cstheme="minorHAnsi"/>
                <w:bCs/>
              </w:rPr>
              <w:t xml:space="preserve"> were more likely to respond based on patient characteristics. </w:t>
            </w:r>
            <w:r w:rsidR="004B391E">
              <w:rPr>
                <w:rFonts w:cstheme="minorHAnsi"/>
                <w:bCs/>
              </w:rPr>
              <w:t>Weighting the responders based on their likelihood of response, given their patient characteristics, helps reduce non-response bias in our RSIR measure.</w:t>
            </w:r>
          </w:p>
          <w:p w14:paraId="50189882" w14:textId="58584D2A" w:rsidR="00AE3091" w:rsidRDefault="00AE3091" w:rsidP="0082144F">
            <w:pPr>
              <w:autoSpaceDE w:val="0"/>
              <w:autoSpaceDN w:val="0"/>
              <w:adjustRightInd w:val="0"/>
              <w:rPr>
                <w:rFonts w:cstheme="minorHAnsi"/>
                <w:bCs/>
              </w:rPr>
            </w:pPr>
          </w:p>
          <w:p w14:paraId="3C8C200D" w14:textId="77777777" w:rsidR="004B391E" w:rsidRPr="0082144F" w:rsidRDefault="004B391E" w:rsidP="004B391E">
            <w:pPr>
              <w:autoSpaceDE w:val="0"/>
              <w:autoSpaceDN w:val="0"/>
              <w:adjustRightInd w:val="0"/>
              <w:rPr>
                <w:rFonts w:cstheme="minorHAnsi"/>
                <w:bCs/>
              </w:rPr>
            </w:pPr>
            <w:r>
              <w:rPr>
                <w:rFonts w:cstheme="minorHAnsi"/>
                <w:bCs/>
              </w:rPr>
              <w:t xml:space="preserve">Among the 238 hospitals submitting at least one complete PRO submission for an eligible THA/TKA procedure during the measurement period, </w:t>
            </w:r>
            <w:r w:rsidRPr="0082144F">
              <w:rPr>
                <w:rFonts w:cstheme="minorHAnsi"/>
                <w:bCs/>
              </w:rPr>
              <w:t xml:space="preserve">389 (0.89%) patients died before having the opportunity to complete </w:t>
            </w:r>
            <w:r>
              <w:rPr>
                <w:rFonts w:cstheme="minorHAnsi"/>
                <w:bCs/>
              </w:rPr>
              <w:t xml:space="preserve">postoperative </w:t>
            </w:r>
            <w:r w:rsidRPr="0082144F">
              <w:rPr>
                <w:rFonts w:cstheme="minorHAnsi"/>
                <w:bCs/>
              </w:rPr>
              <w:t xml:space="preserve">PRO data. Given the small number of deaths, we excluded those who died within 9 months of the procedure from the propensity score model. </w:t>
            </w:r>
          </w:p>
          <w:p w14:paraId="66B663F1" w14:textId="77777777" w:rsidR="004B391E" w:rsidRPr="0082144F" w:rsidRDefault="004B391E" w:rsidP="004B391E">
            <w:pPr>
              <w:autoSpaceDE w:val="0"/>
              <w:autoSpaceDN w:val="0"/>
              <w:adjustRightInd w:val="0"/>
              <w:rPr>
                <w:rFonts w:cstheme="minorHAnsi"/>
                <w:bCs/>
              </w:rPr>
            </w:pPr>
          </w:p>
          <w:p w14:paraId="5A9FA4AB" w14:textId="77777777" w:rsidR="0065681B" w:rsidRDefault="0065681B" w:rsidP="0082144F">
            <w:pPr>
              <w:autoSpaceDE w:val="0"/>
              <w:autoSpaceDN w:val="0"/>
              <w:adjustRightInd w:val="0"/>
              <w:rPr>
                <w:rFonts w:cstheme="minorHAnsi"/>
                <w:bCs/>
              </w:rPr>
            </w:pPr>
          </w:p>
          <w:p w14:paraId="397D0E1C" w14:textId="77777777" w:rsidR="0065681B" w:rsidRPr="0065681B" w:rsidRDefault="0065681B" w:rsidP="0065681B">
            <w:pPr>
              <w:autoSpaceDE w:val="0"/>
              <w:autoSpaceDN w:val="0"/>
              <w:adjustRightInd w:val="0"/>
              <w:spacing w:before="120" w:after="120"/>
              <w:rPr>
                <w:rFonts w:cstheme="minorHAnsi"/>
                <w:bCs/>
                <w:u w:val="single"/>
              </w:rPr>
            </w:pPr>
            <w:r w:rsidRPr="0065681B">
              <w:rPr>
                <w:rFonts w:cstheme="minorHAnsi"/>
                <w:bCs/>
                <w:u w:val="single"/>
              </w:rPr>
              <w:t>References:</w:t>
            </w:r>
          </w:p>
          <w:p w14:paraId="13C499AE" w14:textId="51A6939F" w:rsidR="00CA5D4B" w:rsidRDefault="0065681B" w:rsidP="0065681B">
            <w:pPr>
              <w:autoSpaceDE w:val="0"/>
              <w:autoSpaceDN w:val="0"/>
              <w:adjustRightInd w:val="0"/>
              <w:spacing w:before="120" w:after="120"/>
              <w:rPr>
                <w:rFonts w:cstheme="minorHAnsi"/>
                <w:bCs/>
              </w:rPr>
            </w:pPr>
            <w:r>
              <w:rPr>
                <w:rFonts w:cstheme="minorHAnsi"/>
                <w:bCs/>
              </w:rPr>
              <w:t xml:space="preserve">Hutchings </w:t>
            </w:r>
            <w:r w:rsidR="00447BD8">
              <w:rPr>
                <w:rFonts w:cstheme="minorHAnsi"/>
                <w:bCs/>
              </w:rPr>
              <w:t xml:space="preserve">A, Neuburger J, Frie KG, Black N, van der Meulen J. (2012). Factors associated with non-response in routine use of patient reported outcome measures after elective surgery in England. Health and Quality of Life Outcomes, 10, 34 doi:10.1186/1477-7525-10-34; </w:t>
            </w:r>
          </w:p>
          <w:p w14:paraId="729E74A4" w14:textId="7EB78A78" w:rsidR="0065681B" w:rsidRDefault="00CA5D4B" w:rsidP="0065681B">
            <w:pPr>
              <w:autoSpaceDE w:val="0"/>
              <w:autoSpaceDN w:val="0"/>
              <w:adjustRightInd w:val="0"/>
              <w:spacing w:before="120" w:after="120"/>
              <w:rPr>
                <w:rFonts w:cstheme="minorHAnsi"/>
                <w:bCs/>
              </w:rPr>
            </w:pPr>
            <w:r>
              <w:rPr>
                <w:rFonts w:cstheme="minorHAnsi"/>
                <w:bCs/>
              </w:rPr>
              <w:t>de Rooij BH, Ezendam NPM, Mols F, Vissers PAJ, Thong MSY, Blooswijk CCP, Oerlemans S, Husson O, Horevoorts NJE, van de Poll-Franse LV. (2018). Cancer survivors not participating in observational patient-reported outcome studies have a lower survival compared to participants: the population-based PROFILES registry. Quality of Life Research, 27:3313-3324.</w:t>
            </w:r>
          </w:p>
          <w:p w14:paraId="62482669" w14:textId="466AC062" w:rsidR="00ED1B04" w:rsidRDefault="00ED1B04" w:rsidP="0065681B">
            <w:pPr>
              <w:autoSpaceDE w:val="0"/>
              <w:autoSpaceDN w:val="0"/>
              <w:adjustRightInd w:val="0"/>
              <w:spacing w:before="120" w:after="120"/>
              <w:rPr>
                <w:rFonts w:cstheme="minorHAnsi"/>
                <w:bCs/>
              </w:rPr>
            </w:pPr>
            <w:r w:rsidRPr="00ED1B04">
              <w:rPr>
                <w:rFonts w:cstheme="minorHAnsi"/>
                <w:bCs/>
              </w:rPr>
              <w:t>Garrido, M. M. (2016). Covariate Adjustment and Propensity Score. Jama, 315(14), 1521. doi: 10.1001/jama.2015.19081</w:t>
            </w:r>
          </w:p>
          <w:p w14:paraId="30D6F42A" w14:textId="11BEBB5C" w:rsidR="0065681B" w:rsidRDefault="0065681B" w:rsidP="0065681B">
            <w:pPr>
              <w:autoSpaceDE w:val="0"/>
              <w:autoSpaceDN w:val="0"/>
              <w:adjustRightInd w:val="0"/>
              <w:spacing w:before="120" w:after="120"/>
              <w:rPr>
                <w:rFonts w:cstheme="minorHAnsi"/>
                <w:bCs/>
              </w:rPr>
            </w:pPr>
            <w:r>
              <w:rPr>
                <w:rFonts w:cstheme="minorHAnsi"/>
                <w:bCs/>
              </w:rPr>
              <w:t xml:space="preserve">Patel </w:t>
            </w:r>
            <w:r w:rsidR="00611D94">
              <w:rPr>
                <w:rFonts w:cstheme="minorHAnsi"/>
                <w:bCs/>
              </w:rPr>
              <w:t>J, Lee JH, Zhongmin L, SooHoo NF, Bozic K, Huddleston JI. (2015). Predictors of low patient-reported outcomes response rates in the California Joint Replacement Registry. The Journal of Arthroplasty, 30:2071-2075.</w:t>
            </w:r>
          </w:p>
          <w:p w14:paraId="5D267C3B" w14:textId="0E859DB3" w:rsidR="00E660A6" w:rsidRDefault="00E660A6" w:rsidP="0065681B">
            <w:pPr>
              <w:autoSpaceDE w:val="0"/>
              <w:autoSpaceDN w:val="0"/>
              <w:adjustRightInd w:val="0"/>
              <w:spacing w:before="120" w:after="120"/>
              <w:rPr>
                <w:rFonts w:cstheme="minorHAnsi"/>
                <w:bCs/>
              </w:rPr>
            </w:pPr>
            <w:r w:rsidRPr="00E660A6">
              <w:rPr>
                <w:rFonts w:cstheme="minorHAnsi"/>
                <w:bCs/>
              </w:rPr>
              <w:t xml:space="preserve">Thoemmes, F., &amp; Ong, A. D. (2015). A Primer on Inverse Probability of Treatment Weighting and Marginal Structural Models. Emerging Adulthood, 4(1), 40–59. </w:t>
            </w:r>
          </w:p>
          <w:p w14:paraId="6169F4CD" w14:textId="042E6CC0" w:rsidR="0065681B" w:rsidRDefault="0065681B" w:rsidP="0065681B">
            <w:pPr>
              <w:autoSpaceDE w:val="0"/>
              <w:autoSpaceDN w:val="0"/>
              <w:adjustRightInd w:val="0"/>
              <w:spacing w:before="120" w:after="120"/>
              <w:rPr>
                <w:rFonts w:cstheme="minorHAnsi"/>
                <w:bCs/>
              </w:rPr>
            </w:pPr>
            <w:r>
              <w:rPr>
                <w:rFonts w:cstheme="minorHAnsi"/>
                <w:bCs/>
              </w:rPr>
              <w:t xml:space="preserve">Schamber </w:t>
            </w:r>
            <w:r w:rsidR="00611D94">
              <w:rPr>
                <w:rFonts w:cstheme="minorHAnsi"/>
                <w:bCs/>
              </w:rPr>
              <w:t>EM, Takemoto SK, Chenok KE, Bozic KJ. (2013). Barriers to completion of patient reported outcome measures. The Journal of Arthroplasty, 28:1449-1453.</w:t>
            </w:r>
          </w:p>
          <w:p w14:paraId="33FAAE31" w14:textId="66E6C2FA" w:rsidR="0065681B" w:rsidRPr="00AE3091" w:rsidRDefault="0065681B" w:rsidP="0082144F">
            <w:pPr>
              <w:autoSpaceDE w:val="0"/>
              <w:autoSpaceDN w:val="0"/>
              <w:adjustRightInd w:val="0"/>
              <w:rPr>
                <w:rFonts w:cstheme="minorHAnsi"/>
                <w:bCs/>
              </w:rPr>
            </w:pPr>
          </w:p>
        </w:tc>
      </w:tr>
    </w:tbl>
    <w:p w14:paraId="0CABD01B" w14:textId="4EAF8043" w:rsidR="008F7E67" w:rsidRDefault="008F7E67" w:rsidP="008F7E67">
      <w:pPr>
        <w:autoSpaceDE w:val="0"/>
        <w:autoSpaceDN w:val="0"/>
        <w:adjustRightInd w:val="0"/>
        <w:spacing w:after="0" w:line="240" w:lineRule="auto"/>
        <w:rPr>
          <w:rFonts w:cstheme="minorHAnsi"/>
          <w:bCs/>
        </w:rPr>
      </w:pPr>
    </w:p>
    <w:p w14:paraId="0CABD01C" w14:textId="3980AD22" w:rsidR="008F7E67" w:rsidRDefault="008F7E67" w:rsidP="008F7E67">
      <w:pPr>
        <w:pStyle w:val="ListParagraph"/>
        <w:autoSpaceDE w:val="0"/>
        <w:autoSpaceDN w:val="0"/>
        <w:adjustRightInd w:val="0"/>
        <w:spacing w:after="0" w:line="240" w:lineRule="auto"/>
        <w:ind w:left="0"/>
        <w:rPr>
          <w:rFonts w:cstheme="minorHAnsi"/>
          <w:bCs/>
          <w:sz w:val="18"/>
        </w:rPr>
      </w:pPr>
    </w:p>
    <w:p w14:paraId="51DFA73E" w14:textId="02965FEB" w:rsidR="004B391E" w:rsidRPr="00FE4E76" w:rsidRDefault="004B391E" w:rsidP="00F7347B">
      <w:pPr>
        <w:spacing w:before="1080" w:line="240" w:lineRule="auto"/>
        <w:rPr>
          <w:rFonts w:ascii="Calibri" w:hAnsi="Calibri" w:cs="Calibri"/>
          <w:b/>
        </w:rPr>
      </w:pPr>
      <w:r w:rsidRPr="004B391E">
        <w:rPr>
          <w:rFonts w:ascii="Calibri" w:hAnsi="Calibri" w:cs="Calibri"/>
          <w:b/>
        </w:rPr>
        <w:lastRenderedPageBreak/>
        <w:t xml:space="preserve">Table </w:t>
      </w:r>
      <w:r w:rsidR="0067258C">
        <w:rPr>
          <w:rFonts w:ascii="Calibri" w:hAnsi="Calibri" w:cs="Calibri"/>
          <w:b/>
        </w:rPr>
        <w:t>1</w:t>
      </w:r>
      <w:r w:rsidR="00953B46">
        <w:rPr>
          <w:rFonts w:ascii="Calibri" w:hAnsi="Calibri" w:cs="Calibri"/>
          <w:b/>
        </w:rPr>
        <w:t>2</w:t>
      </w:r>
      <w:r w:rsidRPr="004B391E">
        <w:rPr>
          <w:rFonts w:ascii="Calibri" w:hAnsi="Calibri" w:cs="Calibri"/>
          <w:b/>
        </w:rPr>
        <w:t>: Distribution</w:t>
      </w:r>
      <w:r w:rsidRPr="00FE4E76">
        <w:rPr>
          <w:rFonts w:ascii="Calibri" w:hAnsi="Calibri" w:cs="Calibri"/>
          <w:b/>
        </w:rPr>
        <w:t xml:space="preserve"> of Stabilized Weights A</w:t>
      </w:r>
      <w:r w:rsidR="00DC5E2C">
        <w:rPr>
          <w:rFonts w:ascii="Calibri" w:hAnsi="Calibri" w:cs="Calibri"/>
          <w:b/>
        </w:rPr>
        <w:t>pplied to</w:t>
      </w:r>
      <w:r w:rsidRPr="00FE4E76">
        <w:rPr>
          <w:rFonts w:ascii="Calibri" w:hAnsi="Calibri" w:cs="Calibri"/>
          <w:b/>
        </w:rPr>
        <w:t xml:space="preserve"> </w:t>
      </w:r>
      <w:r w:rsidR="00953B46">
        <w:rPr>
          <w:rFonts w:ascii="Calibri" w:hAnsi="Calibri" w:cs="Calibri"/>
          <w:b/>
        </w:rPr>
        <w:t xml:space="preserve">Patients with </w:t>
      </w:r>
      <w:r w:rsidRPr="00FE4E76">
        <w:rPr>
          <w:rFonts w:ascii="Calibri" w:hAnsi="Calibri" w:cs="Calibri"/>
          <w:b/>
        </w:rPr>
        <w:t xml:space="preserve">Complete </w:t>
      </w:r>
      <w:r w:rsidR="00953B46">
        <w:rPr>
          <w:rFonts w:ascii="Calibri" w:hAnsi="Calibri" w:cs="Calibri"/>
          <w:b/>
        </w:rPr>
        <w:t>PRO Submission (</w:t>
      </w:r>
      <w:r w:rsidRPr="00FE4E76">
        <w:rPr>
          <w:rFonts w:ascii="Calibri" w:hAnsi="Calibri" w:cs="Calibri"/>
          <w:b/>
        </w:rPr>
        <w:t>Responders</w:t>
      </w:r>
      <w:r w:rsidR="00953B46">
        <w:rPr>
          <w:rFonts w:ascii="Calibri" w:hAnsi="Calibri" w:cs="Calibri"/>
          <w:b/>
        </w:rPr>
        <w:t>)</w:t>
      </w:r>
    </w:p>
    <w:tbl>
      <w:tblPr>
        <w:tblStyle w:val="TableGrid"/>
        <w:tblW w:w="0" w:type="auto"/>
        <w:tblLook w:val="04A0" w:firstRow="1" w:lastRow="0" w:firstColumn="1" w:lastColumn="0" w:noHBand="0" w:noVBand="1"/>
      </w:tblPr>
      <w:tblGrid>
        <w:gridCol w:w="2158"/>
        <w:gridCol w:w="3147"/>
      </w:tblGrid>
      <w:tr w:rsidR="004B391E" w:rsidRPr="00EC77AC" w14:paraId="26D8082F" w14:textId="77777777" w:rsidTr="00A340CF">
        <w:trPr>
          <w:tblHeader/>
        </w:trPr>
        <w:tc>
          <w:tcPr>
            <w:tcW w:w="2158" w:type="dxa"/>
            <w:shd w:val="clear" w:color="auto" w:fill="DDEBF7"/>
          </w:tcPr>
          <w:p w14:paraId="0C1FDB81" w14:textId="77777777" w:rsidR="004B391E" w:rsidRPr="00EC77AC" w:rsidRDefault="004B391E" w:rsidP="00DC5E2C">
            <w:pPr>
              <w:rPr>
                <w:b/>
              </w:rPr>
            </w:pPr>
            <w:r>
              <w:rPr>
                <w:b/>
              </w:rPr>
              <w:t>Summary Statistics</w:t>
            </w:r>
          </w:p>
        </w:tc>
        <w:tc>
          <w:tcPr>
            <w:tcW w:w="3147" w:type="dxa"/>
            <w:shd w:val="clear" w:color="auto" w:fill="DDEBF7"/>
          </w:tcPr>
          <w:p w14:paraId="3D349F82" w14:textId="77777777" w:rsidR="004B391E" w:rsidRDefault="004B391E" w:rsidP="00DC5E2C">
            <w:pPr>
              <w:jc w:val="center"/>
              <w:rPr>
                <w:b/>
              </w:rPr>
            </w:pPr>
            <w:r>
              <w:rPr>
                <w:b/>
              </w:rPr>
              <w:t>Stabilized Weights</w:t>
            </w:r>
          </w:p>
        </w:tc>
      </w:tr>
      <w:tr w:rsidR="004B391E" w:rsidRPr="009514D8" w14:paraId="520390F2" w14:textId="77777777" w:rsidTr="00DC5E2C">
        <w:tc>
          <w:tcPr>
            <w:tcW w:w="2158" w:type="dxa"/>
          </w:tcPr>
          <w:p w14:paraId="48BEB144" w14:textId="77777777" w:rsidR="004B391E" w:rsidRPr="00EC77AC" w:rsidRDefault="004B391E" w:rsidP="00DC5E2C">
            <w:pPr>
              <w:rPr>
                <w:b/>
              </w:rPr>
            </w:pPr>
            <w:r w:rsidRPr="00EC77AC">
              <w:rPr>
                <w:b/>
              </w:rPr>
              <w:t>Mean (SD)</w:t>
            </w:r>
          </w:p>
        </w:tc>
        <w:tc>
          <w:tcPr>
            <w:tcW w:w="3147" w:type="dxa"/>
          </w:tcPr>
          <w:p w14:paraId="56A34E66" w14:textId="77777777" w:rsidR="004B391E" w:rsidRPr="009514D8" w:rsidRDefault="004B391E" w:rsidP="00DC5E2C">
            <w:pPr>
              <w:jc w:val="center"/>
              <w:rPr>
                <w:rFonts w:cstheme="minorHAnsi"/>
              </w:rPr>
            </w:pPr>
            <w:r>
              <w:rPr>
                <w:rFonts w:cstheme="minorHAnsi"/>
              </w:rPr>
              <w:t>1.00 (0.26)</w:t>
            </w:r>
          </w:p>
        </w:tc>
      </w:tr>
      <w:tr w:rsidR="004B391E" w:rsidRPr="009514D8" w14:paraId="2A211150" w14:textId="77777777" w:rsidTr="00DC5E2C">
        <w:tc>
          <w:tcPr>
            <w:tcW w:w="2158" w:type="dxa"/>
          </w:tcPr>
          <w:p w14:paraId="6DDC7159" w14:textId="77777777" w:rsidR="004B391E" w:rsidRPr="00EC77AC" w:rsidRDefault="004B391E" w:rsidP="00DC5E2C">
            <w:pPr>
              <w:rPr>
                <w:b/>
              </w:rPr>
            </w:pPr>
            <w:r w:rsidRPr="00EC77AC">
              <w:rPr>
                <w:b/>
              </w:rPr>
              <w:t>Percentile</w:t>
            </w:r>
          </w:p>
        </w:tc>
        <w:tc>
          <w:tcPr>
            <w:tcW w:w="3147" w:type="dxa"/>
            <w:tcBorders>
              <w:bottom w:val="single" w:sz="4" w:space="0" w:color="auto"/>
            </w:tcBorders>
          </w:tcPr>
          <w:p w14:paraId="3CF55094" w14:textId="77777777" w:rsidR="004B391E" w:rsidRPr="009514D8" w:rsidRDefault="004B391E" w:rsidP="00DC5E2C">
            <w:pPr>
              <w:jc w:val="center"/>
              <w:rPr>
                <w:rFonts w:cstheme="minorHAnsi"/>
                <w:color w:val="000000"/>
              </w:rPr>
            </w:pPr>
          </w:p>
        </w:tc>
      </w:tr>
      <w:tr w:rsidR="004B391E" w:rsidRPr="009514D8" w14:paraId="26FA7899" w14:textId="77777777" w:rsidTr="00DC5E2C">
        <w:tc>
          <w:tcPr>
            <w:tcW w:w="2158" w:type="dxa"/>
          </w:tcPr>
          <w:p w14:paraId="51A1F1D8" w14:textId="77777777" w:rsidR="004B391E" w:rsidRPr="00EC77AC" w:rsidRDefault="004B391E" w:rsidP="00DC5E2C">
            <w:pPr>
              <w:rPr>
                <w:b/>
              </w:rPr>
            </w:pPr>
            <w:r>
              <w:rPr>
                <w:b/>
              </w:rPr>
              <w:t>100% Max</w:t>
            </w:r>
          </w:p>
        </w:tc>
        <w:tc>
          <w:tcPr>
            <w:tcW w:w="3147" w:type="dxa"/>
            <w:tcBorders>
              <w:top w:val="single" w:sz="4" w:space="0" w:color="auto"/>
              <w:left w:val="nil"/>
              <w:bottom w:val="single" w:sz="4" w:space="0" w:color="auto"/>
              <w:right w:val="single" w:sz="4" w:space="0" w:color="auto"/>
            </w:tcBorders>
          </w:tcPr>
          <w:p w14:paraId="4CC7C5C2" w14:textId="77777777" w:rsidR="004B391E" w:rsidRPr="009514D8" w:rsidRDefault="004B391E" w:rsidP="00DC5E2C">
            <w:pPr>
              <w:jc w:val="center"/>
              <w:rPr>
                <w:rFonts w:cstheme="minorHAnsi"/>
              </w:rPr>
            </w:pPr>
            <w:r>
              <w:rPr>
                <w:rFonts w:cstheme="minorHAnsi"/>
              </w:rPr>
              <w:t>4.74</w:t>
            </w:r>
          </w:p>
        </w:tc>
      </w:tr>
      <w:tr w:rsidR="004B391E" w:rsidRPr="009514D8" w14:paraId="10F43990" w14:textId="77777777" w:rsidTr="00DC5E2C">
        <w:tc>
          <w:tcPr>
            <w:tcW w:w="2158" w:type="dxa"/>
          </w:tcPr>
          <w:p w14:paraId="71F1463E" w14:textId="77777777" w:rsidR="004B391E" w:rsidRDefault="004B391E" w:rsidP="00DC5E2C">
            <w:pPr>
              <w:rPr>
                <w:b/>
              </w:rPr>
            </w:pPr>
            <w:r>
              <w:rPr>
                <w:b/>
              </w:rPr>
              <w:t>99%</w:t>
            </w:r>
          </w:p>
        </w:tc>
        <w:tc>
          <w:tcPr>
            <w:tcW w:w="3147" w:type="dxa"/>
            <w:tcBorders>
              <w:top w:val="single" w:sz="4" w:space="0" w:color="auto"/>
              <w:left w:val="nil"/>
              <w:bottom w:val="single" w:sz="4" w:space="0" w:color="auto"/>
              <w:right w:val="single" w:sz="4" w:space="0" w:color="auto"/>
            </w:tcBorders>
          </w:tcPr>
          <w:p w14:paraId="5020AF5C" w14:textId="77777777" w:rsidR="004B391E" w:rsidRPr="009514D8" w:rsidRDefault="004B391E" w:rsidP="00DC5E2C">
            <w:pPr>
              <w:jc w:val="center"/>
              <w:rPr>
                <w:rFonts w:cstheme="minorHAnsi"/>
              </w:rPr>
            </w:pPr>
            <w:r>
              <w:rPr>
                <w:rFonts w:cstheme="minorHAnsi"/>
              </w:rPr>
              <w:t>1.77</w:t>
            </w:r>
          </w:p>
        </w:tc>
      </w:tr>
      <w:tr w:rsidR="004B391E" w:rsidRPr="009514D8" w14:paraId="63AD6BD4" w14:textId="77777777" w:rsidTr="00DC5E2C">
        <w:tc>
          <w:tcPr>
            <w:tcW w:w="2158" w:type="dxa"/>
          </w:tcPr>
          <w:p w14:paraId="0450F453" w14:textId="77777777" w:rsidR="004B391E" w:rsidRPr="00EC77AC" w:rsidRDefault="004B391E" w:rsidP="00DC5E2C">
            <w:pPr>
              <w:rPr>
                <w:b/>
              </w:rPr>
            </w:pPr>
            <w:r w:rsidRPr="00EC77AC">
              <w:rPr>
                <w:b/>
              </w:rPr>
              <w:t>95%</w:t>
            </w:r>
          </w:p>
        </w:tc>
        <w:tc>
          <w:tcPr>
            <w:tcW w:w="3147" w:type="dxa"/>
            <w:tcBorders>
              <w:top w:val="single" w:sz="4" w:space="0" w:color="auto"/>
              <w:left w:val="nil"/>
              <w:bottom w:val="single" w:sz="4" w:space="0" w:color="auto"/>
              <w:right w:val="single" w:sz="4" w:space="0" w:color="auto"/>
            </w:tcBorders>
          </w:tcPr>
          <w:p w14:paraId="30B9D1AB" w14:textId="77777777" w:rsidR="004B391E" w:rsidRPr="009514D8" w:rsidRDefault="004B391E" w:rsidP="00DC5E2C">
            <w:pPr>
              <w:jc w:val="center"/>
              <w:rPr>
                <w:rFonts w:cstheme="minorHAnsi"/>
              </w:rPr>
            </w:pPr>
            <w:r>
              <w:rPr>
                <w:rFonts w:cstheme="minorHAnsi"/>
              </w:rPr>
              <w:t>1.29</w:t>
            </w:r>
          </w:p>
        </w:tc>
      </w:tr>
      <w:tr w:rsidR="004B391E" w:rsidRPr="009514D8" w14:paraId="7C22CB95" w14:textId="77777777" w:rsidTr="00DC5E2C">
        <w:tc>
          <w:tcPr>
            <w:tcW w:w="2158" w:type="dxa"/>
          </w:tcPr>
          <w:p w14:paraId="0F0E94A3" w14:textId="77777777" w:rsidR="004B391E" w:rsidRPr="00EC77AC" w:rsidRDefault="004B391E" w:rsidP="00DC5E2C">
            <w:pPr>
              <w:rPr>
                <w:b/>
              </w:rPr>
            </w:pPr>
            <w:r w:rsidRPr="00EC77AC">
              <w:rPr>
                <w:b/>
              </w:rPr>
              <w:t>90%</w:t>
            </w:r>
          </w:p>
        </w:tc>
        <w:tc>
          <w:tcPr>
            <w:tcW w:w="3147" w:type="dxa"/>
            <w:tcBorders>
              <w:top w:val="single" w:sz="4" w:space="0" w:color="auto"/>
              <w:left w:val="nil"/>
              <w:bottom w:val="single" w:sz="4" w:space="0" w:color="auto"/>
              <w:right w:val="single" w:sz="4" w:space="0" w:color="auto"/>
            </w:tcBorders>
          </w:tcPr>
          <w:p w14:paraId="3D68E4EA" w14:textId="77777777" w:rsidR="004B391E" w:rsidRPr="009514D8" w:rsidRDefault="004B391E" w:rsidP="00DC5E2C">
            <w:pPr>
              <w:jc w:val="center"/>
              <w:rPr>
                <w:rFonts w:cstheme="minorHAnsi"/>
              </w:rPr>
            </w:pPr>
            <w:r>
              <w:rPr>
                <w:rFonts w:cstheme="minorHAnsi"/>
              </w:rPr>
              <w:t>1.09</w:t>
            </w:r>
          </w:p>
        </w:tc>
      </w:tr>
      <w:tr w:rsidR="004B391E" w:rsidRPr="009514D8" w14:paraId="117CC050" w14:textId="77777777" w:rsidTr="00DC5E2C">
        <w:tc>
          <w:tcPr>
            <w:tcW w:w="2158" w:type="dxa"/>
          </w:tcPr>
          <w:p w14:paraId="5DE90684" w14:textId="77777777" w:rsidR="004B391E" w:rsidRPr="00EC77AC" w:rsidRDefault="004B391E" w:rsidP="00DC5E2C">
            <w:pPr>
              <w:rPr>
                <w:b/>
              </w:rPr>
            </w:pPr>
            <w:r w:rsidRPr="00EC77AC">
              <w:rPr>
                <w:b/>
              </w:rPr>
              <w:t>75% (Q3)</w:t>
            </w:r>
          </w:p>
        </w:tc>
        <w:tc>
          <w:tcPr>
            <w:tcW w:w="3147" w:type="dxa"/>
            <w:tcBorders>
              <w:top w:val="single" w:sz="4" w:space="0" w:color="auto"/>
              <w:left w:val="nil"/>
              <w:bottom w:val="single" w:sz="4" w:space="0" w:color="auto"/>
              <w:right w:val="single" w:sz="4" w:space="0" w:color="auto"/>
            </w:tcBorders>
          </w:tcPr>
          <w:p w14:paraId="4FABEBAA" w14:textId="77777777" w:rsidR="004B391E" w:rsidRPr="009514D8" w:rsidRDefault="004B391E" w:rsidP="00DC5E2C">
            <w:pPr>
              <w:jc w:val="center"/>
              <w:rPr>
                <w:rFonts w:cstheme="minorHAnsi"/>
              </w:rPr>
            </w:pPr>
            <w:r>
              <w:rPr>
                <w:rFonts w:cstheme="minorHAnsi"/>
              </w:rPr>
              <w:t>1.01</w:t>
            </w:r>
          </w:p>
        </w:tc>
      </w:tr>
      <w:tr w:rsidR="004B391E" w:rsidRPr="009514D8" w14:paraId="54CC95B2" w14:textId="77777777" w:rsidTr="00DC5E2C">
        <w:tc>
          <w:tcPr>
            <w:tcW w:w="2158" w:type="dxa"/>
          </w:tcPr>
          <w:p w14:paraId="79EA7196" w14:textId="77777777" w:rsidR="004B391E" w:rsidRPr="00EC77AC" w:rsidRDefault="004B391E" w:rsidP="00DC5E2C">
            <w:pPr>
              <w:rPr>
                <w:b/>
              </w:rPr>
            </w:pPr>
            <w:r w:rsidRPr="00EC77AC">
              <w:rPr>
                <w:b/>
              </w:rPr>
              <w:t>50% (Median)</w:t>
            </w:r>
          </w:p>
        </w:tc>
        <w:tc>
          <w:tcPr>
            <w:tcW w:w="3147" w:type="dxa"/>
            <w:tcBorders>
              <w:top w:val="single" w:sz="4" w:space="0" w:color="auto"/>
              <w:left w:val="nil"/>
              <w:bottom w:val="single" w:sz="4" w:space="0" w:color="auto"/>
              <w:right w:val="single" w:sz="4" w:space="0" w:color="auto"/>
            </w:tcBorders>
          </w:tcPr>
          <w:p w14:paraId="32146DFF" w14:textId="77777777" w:rsidR="004B391E" w:rsidRPr="009514D8" w:rsidRDefault="004B391E" w:rsidP="00DC5E2C">
            <w:pPr>
              <w:jc w:val="center"/>
              <w:rPr>
                <w:rFonts w:cstheme="minorHAnsi"/>
              </w:rPr>
            </w:pPr>
            <w:r>
              <w:rPr>
                <w:rFonts w:cstheme="minorHAnsi"/>
              </w:rPr>
              <w:t>0.95</w:t>
            </w:r>
          </w:p>
        </w:tc>
      </w:tr>
      <w:tr w:rsidR="004B391E" w:rsidRPr="009514D8" w14:paraId="636F2573" w14:textId="77777777" w:rsidTr="00DC5E2C">
        <w:tc>
          <w:tcPr>
            <w:tcW w:w="2158" w:type="dxa"/>
          </w:tcPr>
          <w:p w14:paraId="4797A122" w14:textId="77777777" w:rsidR="004B391E" w:rsidRPr="00EC77AC" w:rsidRDefault="004B391E" w:rsidP="00DC5E2C">
            <w:pPr>
              <w:rPr>
                <w:b/>
              </w:rPr>
            </w:pPr>
            <w:r w:rsidRPr="00EC77AC">
              <w:rPr>
                <w:b/>
              </w:rPr>
              <w:t>25% (Q1)</w:t>
            </w:r>
          </w:p>
        </w:tc>
        <w:tc>
          <w:tcPr>
            <w:tcW w:w="3147" w:type="dxa"/>
            <w:tcBorders>
              <w:top w:val="single" w:sz="4" w:space="0" w:color="auto"/>
              <w:left w:val="nil"/>
              <w:bottom w:val="single" w:sz="4" w:space="0" w:color="auto"/>
              <w:right w:val="single" w:sz="4" w:space="0" w:color="auto"/>
            </w:tcBorders>
          </w:tcPr>
          <w:p w14:paraId="1F0D7C88" w14:textId="77777777" w:rsidR="004B391E" w:rsidRPr="009514D8" w:rsidRDefault="004B391E" w:rsidP="00DC5E2C">
            <w:pPr>
              <w:jc w:val="center"/>
              <w:rPr>
                <w:rFonts w:cstheme="minorHAnsi"/>
              </w:rPr>
            </w:pPr>
            <w:r>
              <w:rPr>
                <w:rFonts w:cstheme="minorHAnsi"/>
              </w:rPr>
              <w:t>0.91</w:t>
            </w:r>
          </w:p>
        </w:tc>
      </w:tr>
      <w:tr w:rsidR="004B391E" w:rsidRPr="009514D8" w14:paraId="147E8C63" w14:textId="77777777" w:rsidTr="00DC5E2C">
        <w:tc>
          <w:tcPr>
            <w:tcW w:w="2158" w:type="dxa"/>
          </w:tcPr>
          <w:p w14:paraId="39FCA7E3" w14:textId="77777777" w:rsidR="004B391E" w:rsidRPr="00EC77AC" w:rsidRDefault="004B391E" w:rsidP="00DC5E2C">
            <w:pPr>
              <w:rPr>
                <w:b/>
              </w:rPr>
            </w:pPr>
            <w:r w:rsidRPr="00EC77AC">
              <w:rPr>
                <w:b/>
              </w:rPr>
              <w:t>10%</w:t>
            </w:r>
          </w:p>
        </w:tc>
        <w:tc>
          <w:tcPr>
            <w:tcW w:w="3147" w:type="dxa"/>
            <w:tcBorders>
              <w:top w:val="single" w:sz="4" w:space="0" w:color="auto"/>
              <w:left w:val="nil"/>
              <w:bottom w:val="single" w:sz="4" w:space="0" w:color="auto"/>
              <w:right w:val="single" w:sz="4" w:space="0" w:color="auto"/>
            </w:tcBorders>
          </w:tcPr>
          <w:p w14:paraId="2CC173A7" w14:textId="77777777" w:rsidR="004B391E" w:rsidRPr="009514D8" w:rsidRDefault="004B391E" w:rsidP="00DC5E2C">
            <w:pPr>
              <w:jc w:val="center"/>
              <w:rPr>
                <w:rFonts w:cstheme="minorHAnsi"/>
              </w:rPr>
            </w:pPr>
            <w:r>
              <w:rPr>
                <w:rFonts w:cstheme="minorHAnsi"/>
              </w:rPr>
              <w:t>0.88</w:t>
            </w:r>
          </w:p>
        </w:tc>
      </w:tr>
      <w:tr w:rsidR="004B391E" w:rsidRPr="009514D8" w14:paraId="2DC0A7BD" w14:textId="77777777" w:rsidTr="00DC5E2C">
        <w:tc>
          <w:tcPr>
            <w:tcW w:w="2158" w:type="dxa"/>
          </w:tcPr>
          <w:p w14:paraId="55DC66B7" w14:textId="77777777" w:rsidR="004B391E" w:rsidRPr="00EC77AC" w:rsidRDefault="004B391E" w:rsidP="00DC5E2C">
            <w:pPr>
              <w:rPr>
                <w:b/>
              </w:rPr>
            </w:pPr>
            <w:r w:rsidRPr="00EC77AC">
              <w:rPr>
                <w:b/>
              </w:rPr>
              <w:t>5%</w:t>
            </w:r>
          </w:p>
        </w:tc>
        <w:tc>
          <w:tcPr>
            <w:tcW w:w="3147" w:type="dxa"/>
            <w:tcBorders>
              <w:top w:val="single" w:sz="4" w:space="0" w:color="auto"/>
              <w:left w:val="nil"/>
              <w:bottom w:val="single" w:sz="4" w:space="0" w:color="auto"/>
              <w:right w:val="single" w:sz="4" w:space="0" w:color="auto"/>
            </w:tcBorders>
          </w:tcPr>
          <w:p w14:paraId="035D4F87" w14:textId="77777777" w:rsidR="004B391E" w:rsidRPr="009514D8" w:rsidRDefault="004B391E" w:rsidP="00DC5E2C">
            <w:pPr>
              <w:jc w:val="center"/>
              <w:rPr>
                <w:rFonts w:cstheme="minorHAnsi"/>
              </w:rPr>
            </w:pPr>
            <w:r>
              <w:rPr>
                <w:rFonts w:cstheme="minorHAnsi"/>
              </w:rPr>
              <w:t>0.85</w:t>
            </w:r>
          </w:p>
        </w:tc>
      </w:tr>
      <w:tr w:rsidR="004B391E" w:rsidRPr="009514D8" w14:paraId="277D4C07" w14:textId="77777777" w:rsidTr="00DC5E2C">
        <w:tc>
          <w:tcPr>
            <w:tcW w:w="2158" w:type="dxa"/>
          </w:tcPr>
          <w:p w14:paraId="52EFD241" w14:textId="77777777" w:rsidR="004B391E" w:rsidRPr="00EC77AC" w:rsidRDefault="004B391E" w:rsidP="00DC5E2C">
            <w:pPr>
              <w:rPr>
                <w:b/>
              </w:rPr>
            </w:pPr>
            <w:r>
              <w:rPr>
                <w:b/>
              </w:rPr>
              <w:t>1%</w:t>
            </w:r>
          </w:p>
        </w:tc>
        <w:tc>
          <w:tcPr>
            <w:tcW w:w="3147" w:type="dxa"/>
            <w:tcBorders>
              <w:top w:val="single" w:sz="4" w:space="0" w:color="auto"/>
              <w:left w:val="nil"/>
              <w:bottom w:val="single" w:sz="4" w:space="0" w:color="auto"/>
              <w:right w:val="single" w:sz="4" w:space="0" w:color="auto"/>
            </w:tcBorders>
          </w:tcPr>
          <w:p w14:paraId="5561E439" w14:textId="77777777" w:rsidR="004B391E" w:rsidRPr="009514D8" w:rsidRDefault="004B391E" w:rsidP="00DC5E2C">
            <w:pPr>
              <w:jc w:val="center"/>
              <w:rPr>
                <w:rFonts w:cstheme="minorHAnsi"/>
              </w:rPr>
            </w:pPr>
            <w:r>
              <w:rPr>
                <w:rFonts w:cstheme="minorHAnsi"/>
              </w:rPr>
              <w:t>0.82</w:t>
            </w:r>
          </w:p>
        </w:tc>
      </w:tr>
      <w:tr w:rsidR="004B391E" w:rsidRPr="009514D8" w14:paraId="74B22B0D" w14:textId="77777777" w:rsidTr="00DC5E2C">
        <w:tc>
          <w:tcPr>
            <w:tcW w:w="2158" w:type="dxa"/>
          </w:tcPr>
          <w:p w14:paraId="0CDA82E9" w14:textId="77777777" w:rsidR="004B391E" w:rsidRPr="00EC77AC" w:rsidRDefault="004B391E" w:rsidP="00DC5E2C">
            <w:pPr>
              <w:rPr>
                <w:b/>
              </w:rPr>
            </w:pPr>
            <w:r>
              <w:rPr>
                <w:b/>
              </w:rPr>
              <w:t>0% Min</w:t>
            </w:r>
          </w:p>
        </w:tc>
        <w:tc>
          <w:tcPr>
            <w:tcW w:w="3147" w:type="dxa"/>
            <w:tcBorders>
              <w:top w:val="single" w:sz="4" w:space="0" w:color="auto"/>
              <w:left w:val="nil"/>
              <w:bottom w:val="single" w:sz="4" w:space="0" w:color="auto"/>
              <w:right w:val="single" w:sz="4" w:space="0" w:color="auto"/>
            </w:tcBorders>
          </w:tcPr>
          <w:p w14:paraId="35DCDA5E" w14:textId="77777777" w:rsidR="004B391E" w:rsidRPr="009514D8" w:rsidRDefault="004B391E" w:rsidP="00DC5E2C">
            <w:pPr>
              <w:jc w:val="center"/>
              <w:rPr>
                <w:rFonts w:cstheme="minorHAnsi"/>
              </w:rPr>
            </w:pPr>
            <w:r>
              <w:rPr>
                <w:rFonts w:cstheme="minorHAnsi"/>
              </w:rPr>
              <w:t>0.73</w:t>
            </w:r>
          </w:p>
        </w:tc>
      </w:tr>
    </w:tbl>
    <w:p w14:paraId="3F4FBE5E" w14:textId="77777777" w:rsidR="007F03AE" w:rsidRDefault="007F03AE" w:rsidP="008F7E67">
      <w:pPr>
        <w:autoSpaceDE w:val="0"/>
        <w:autoSpaceDN w:val="0"/>
        <w:adjustRightInd w:val="0"/>
        <w:spacing w:after="0" w:line="240" w:lineRule="auto"/>
        <w:rPr>
          <w:rFonts w:ascii="Calibri" w:eastAsiaTheme="minorHAnsi" w:hAnsi="Calibri" w:cs="Calibri"/>
        </w:rPr>
      </w:pPr>
    </w:p>
    <w:p w14:paraId="74BBE32F" w14:textId="374A7AA4" w:rsidR="003942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394224">
        <w:rPr>
          <w:rFonts w:cstheme="minorHAnsi"/>
          <w:bCs/>
        </w:rPr>
        <w:t>)</w:t>
      </w:r>
    </w:p>
    <w:tbl>
      <w:tblPr>
        <w:tblStyle w:val="TableGrid"/>
        <w:tblW w:w="0" w:type="auto"/>
        <w:tblLook w:val="04A0" w:firstRow="1" w:lastRow="0" w:firstColumn="1" w:lastColumn="0" w:noHBand="0" w:noVBand="1"/>
      </w:tblPr>
      <w:tblGrid>
        <w:gridCol w:w="9350"/>
      </w:tblGrid>
      <w:tr w:rsidR="00394224" w14:paraId="22943834" w14:textId="77777777" w:rsidTr="00062A58">
        <w:tc>
          <w:tcPr>
            <w:tcW w:w="9350" w:type="dxa"/>
          </w:tcPr>
          <w:p w14:paraId="249ECDAE" w14:textId="08729A22" w:rsidR="00101293" w:rsidRPr="00545A22" w:rsidRDefault="00545A22" w:rsidP="002B52E5">
            <w:pPr>
              <w:autoSpaceDE w:val="0"/>
              <w:autoSpaceDN w:val="0"/>
              <w:adjustRightInd w:val="0"/>
              <w:rPr>
                <w:rFonts w:cstheme="minorHAnsi"/>
                <w:b/>
                <w:bCs/>
              </w:rPr>
            </w:pPr>
            <w:r>
              <w:rPr>
                <w:rFonts w:cstheme="minorHAnsi"/>
                <w:bCs/>
              </w:rPr>
              <w:t xml:space="preserve">Patients included in measure development and testing of this measure had complete preoperative PRO and risk variable data matched to complete postoperative PRO data. Patients with PRO submissions that were incomplete: missing data values, data values out-of-range, or missing preoperative or postoperative PRO data were not included in the </w:t>
            </w:r>
            <w:r w:rsidRPr="00545A22">
              <w:rPr>
                <w:rFonts w:cstheme="minorHAnsi"/>
                <w:b/>
                <w:bCs/>
              </w:rPr>
              <w:t xml:space="preserve">Development </w:t>
            </w:r>
            <w:r>
              <w:rPr>
                <w:rFonts w:cstheme="minorHAnsi"/>
                <w:bCs/>
              </w:rPr>
              <w:t xml:space="preserve">and </w:t>
            </w:r>
            <w:r w:rsidRPr="00545A22">
              <w:rPr>
                <w:rFonts w:cstheme="minorHAnsi"/>
                <w:b/>
                <w:bCs/>
              </w:rPr>
              <w:t>Validation Datasets.</w:t>
            </w:r>
          </w:p>
          <w:p w14:paraId="7B45515E" w14:textId="77777777" w:rsidR="00101293" w:rsidRDefault="00101293" w:rsidP="002B52E5">
            <w:pPr>
              <w:autoSpaceDE w:val="0"/>
              <w:autoSpaceDN w:val="0"/>
              <w:adjustRightInd w:val="0"/>
              <w:rPr>
                <w:rFonts w:cstheme="minorHAnsi"/>
                <w:bCs/>
              </w:rPr>
            </w:pPr>
          </w:p>
          <w:p w14:paraId="685CB14F" w14:textId="5565B1A0" w:rsidR="00394224" w:rsidRPr="0082144F" w:rsidRDefault="00E1529F" w:rsidP="002B52E5">
            <w:pPr>
              <w:autoSpaceDE w:val="0"/>
              <w:autoSpaceDN w:val="0"/>
              <w:adjustRightInd w:val="0"/>
              <w:rPr>
                <w:rFonts w:cstheme="minorHAnsi"/>
                <w:bCs/>
              </w:rPr>
            </w:pPr>
            <w:r w:rsidRPr="0082144F">
              <w:rPr>
                <w:rFonts w:cstheme="minorHAnsi"/>
                <w:bCs/>
              </w:rPr>
              <w:t xml:space="preserve">The true </w:t>
            </w:r>
            <w:r w:rsidR="0065681B">
              <w:rPr>
                <w:rFonts w:cstheme="minorHAnsi"/>
                <w:bCs/>
              </w:rPr>
              <w:t>“</w:t>
            </w:r>
            <w:r w:rsidRPr="0082144F">
              <w:rPr>
                <w:rFonts w:cstheme="minorHAnsi"/>
                <w:bCs/>
              </w:rPr>
              <w:t>response</w:t>
            </w:r>
            <w:r w:rsidR="0065681B">
              <w:rPr>
                <w:rFonts w:cstheme="minorHAnsi"/>
                <w:bCs/>
              </w:rPr>
              <w:t>”</w:t>
            </w:r>
            <w:r w:rsidRPr="0082144F">
              <w:rPr>
                <w:rFonts w:cstheme="minorHAnsi"/>
                <w:bCs/>
              </w:rPr>
              <w:t xml:space="preserve"> rate for our study is difficult to calculate</w:t>
            </w:r>
            <w:r w:rsidR="0065681B">
              <w:rPr>
                <w:rFonts w:cstheme="minorHAnsi"/>
                <w:bCs/>
              </w:rPr>
              <w:t xml:space="preserve"> because it is unknown to whether</w:t>
            </w:r>
            <w:r w:rsidR="004A08D3">
              <w:rPr>
                <w:rFonts w:cstheme="minorHAnsi"/>
                <w:bCs/>
              </w:rPr>
              <w:t xml:space="preserve"> </w:t>
            </w:r>
            <w:r w:rsidRPr="0082144F">
              <w:rPr>
                <w:rFonts w:cstheme="minorHAnsi"/>
                <w:bCs/>
              </w:rPr>
              <w:t xml:space="preserve">100% of eligible patients </w:t>
            </w:r>
            <w:r w:rsidR="00F63B97">
              <w:rPr>
                <w:rFonts w:cstheme="minorHAnsi"/>
                <w:bCs/>
              </w:rPr>
              <w:t xml:space="preserve">at the hospitals in our dataset </w:t>
            </w:r>
            <w:r w:rsidRPr="0082144F">
              <w:rPr>
                <w:rFonts w:cstheme="minorHAnsi"/>
                <w:bCs/>
              </w:rPr>
              <w:t xml:space="preserve">were asked to </w:t>
            </w:r>
            <w:r w:rsidR="004A08D3">
              <w:rPr>
                <w:rFonts w:cstheme="minorHAnsi"/>
                <w:bCs/>
              </w:rPr>
              <w:t>provide PRO data</w:t>
            </w:r>
            <w:r w:rsidRPr="0082144F">
              <w:rPr>
                <w:rFonts w:cstheme="minorHAnsi"/>
                <w:bCs/>
              </w:rPr>
              <w:t xml:space="preserve">. </w:t>
            </w:r>
            <w:r w:rsidR="00FA3363">
              <w:rPr>
                <w:rFonts w:cstheme="minorHAnsi"/>
                <w:bCs/>
              </w:rPr>
              <w:t xml:space="preserve">However, we do have the true denominator of eligible cases, based upon claims data. </w:t>
            </w:r>
            <w:r w:rsidR="0065681B">
              <w:rPr>
                <w:rFonts w:cstheme="minorHAnsi"/>
                <w:bCs/>
              </w:rPr>
              <w:t xml:space="preserve">In the absence of </w:t>
            </w:r>
            <w:r w:rsidR="00FA3363">
              <w:rPr>
                <w:rFonts w:cstheme="minorHAnsi"/>
                <w:bCs/>
              </w:rPr>
              <w:t>a</w:t>
            </w:r>
            <w:r w:rsidR="00FA3363" w:rsidRPr="0082144F">
              <w:rPr>
                <w:rFonts w:cstheme="minorHAnsi"/>
                <w:bCs/>
              </w:rPr>
              <w:t xml:space="preserve"> true </w:t>
            </w:r>
            <w:r w:rsidR="00FA3363">
              <w:rPr>
                <w:rFonts w:cstheme="minorHAnsi"/>
                <w:bCs/>
              </w:rPr>
              <w:t>“</w:t>
            </w:r>
            <w:r w:rsidR="00FA3363" w:rsidRPr="0082144F">
              <w:rPr>
                <w:rFonts w:cstheme="minorHAnsi"/>
                <w:bCs/>
              </w:rPr>
              <w:t>response</w:t>
            </w:r>
            <w:r w:rsidR="00FA3363">
              <w:rPr>
                <w:rFonts w:cstheme="minorHAnsi"/>
                <w:bCs/>
              </w:rPr>
              <w:t>”</w:t>
            </w:r>
            <w:r w:rsidR="00FA3363" w:rsidRPr="0082144F">
              <w:rPr>
                <w:rFonts w:cstheme="minorHAnsi"/>
                <w:bCs/>
              </w:rPr>
              <w:t xml:space="preserve"> rate</w:t>
            </w:r>
            <w:r w:rsidR="0065681B">
              <w:rPr>
                <w:rFonts w:cstheme="minorHAnsi"/>
                <w:bCs/>
              </w:rPr>
              <w:t xml:space="preserve">, </w:t>
            </w:r>
            <w:r w:rsidR="00F63B97">
              <w:rPr>
                <w:rFonts w:cstheme="minorHAnsi"/>
                <w:bCs/>
              </w:rPr>
              <w:t xml:space="preserve">we have calculated </w:t>
            </w:r>
            <w:r w:rsidR="00FA3363">
              <w:rPr>
                <w:rFonts w:cstheme="minorHAnsi"/>
                <w:bCs/>
              </w:rPr>
              <w:t xml:space="preserve">an estimated </w:t>
            </w:r>
            <w:r w:rsidR="00F63B97">
              <w:rPr>
                <w:rFonts w:cstheme="minorHAnsi"/>
                <w:bCs/>
              </w:rPr>
              <w:t xml:space="preserve">response rate as the percentage of all elective primary THA/TKA procedures performed during the measurement period at the hospitals in the dataset </w:t>
            </w:r>
            <w:r w:rsidR="004A08D3">
              <w:rPr>
                <w:rFonts w:cstheme="minorHAnsi"/>
                <w:bCs/>
              </w:rPr>
              <w:t xml:space="preserve">(excluding patients with staged procedures during the measurement period) </w:t>
            </w:r>
            <w:r w:rsidR="00F63B97">
              <w:rPr>
                <w:rFonts w:cstheme="minorHAnsi"/>
                <w:bCs/>
              </w:rPr>
              <w:t>for which complete and matched preoperative and postoperative PRO and risk variable data were submitted.</w:t>
            </w:r>
            <w:r w:rsidRPr="0082144F">
              <w:rPr>
                <w:rFonts w:cstheme="minorHAnsi"/>
                <w:bCs/>
              </w:rPr>
              <w:t xml:space="preserve"> </w:t>
            </w:r>
            <w:r w:rsidR="00F63B97">
              <w:rPr>
                <w:rFonts w:cstheme="minorHAnsi"/>
                <w:bCs/>
              </w:rPr>
              <w:t>With this operational definition, the</w:t>
            </w:r>
            <w:r w:rsidRPr="0082144F">
              <w:rPr>
                <w:rFonts w:cstheme="minorHAnsi"/>
                <w:bCs/>
              </w:rPr>
              <w:t xml:space="preserve"> </w:t>
            </w:r>
            <w:r w:rsidR="00F63B97">
              <w:rPr>
                <w:rFonts w:cstheme="minorHAnsi"/>
                <w:bCs/>
              </w:rPr>
              <w:t xml:space="preserve">mean </w:t>
            </w:r>
            <w:r w:rsidRPr="0082144F">
              <w:rPr>
                <w:rFonts w:cstheme="minorHAnsi"/>
                <w:bCs/>
              </w:rPr>
              <w:t>response rate</w:t>
            </w:r>
            <w:r w:rsidR="00F63B97">
              <w:rPr>
                <w:rFonts w:cstheme="minorHAnsi"/>
                <w:bCs/>
              </w:rPr>
              <w:t xml:space="preserve"> across hospitals was 30.62% (</w:t>
            </w:r>
            <w:r w:rsidR="00F63B97" w:rsidRPr="00F63B97">
              <w:rPr>
                <w:rFonts w:cstheme="minorHAnsi"/>
                <w:bCs/>
                <w:i/>
              </w:rPr>
              <w:t>SD</w:t>
            </w:r>
            <w:r w:rsidR="00F63B97">
              <w:rPr>
                <w:rFonts w:cstheme="minorHAnsi"/>
                <w:bCs/>
              </w:rPr>
              <w:t xml:space="preserve"> 22.79%). Among hospitals </w:t>
            </w:r>
            <w:r w:rsidR="00953B46">
              <w:rPr>
                <w:rFonts w:cstheme="minorHAnsi"/>
                <w:bCs/>
              </w:rPr>
              <w:t>with</w:t>
            </w:r>
            <w:r w:rsidR="00F63B97">
              <w:rPr>
                <w:rFonts w:cstheme="minorHAnsi"/>
                <w:bCs/>
              </w:rPr>
              <w:t xml:space="preserve"> </w:t>
            </w:r>
            <w:r w:rsidR="00F63B97" w:rsidRPr="00F63B97">
              <w:rPr>
                <w:rFonts w:cstheme="minorHAnsi"/>
                <w:bCs/>
                <w:u w:val="single"/>
              </w:rPr>
              <w:t>&gt;</w:t>
            </w:r>
            <w:r w:rsidR="00F63B97">
              <w:rPr>
                <w:rFonts w:cstheme="minorHAnsi"/>
                <w:bCs/>
              </w:rPr>
              <w:t xml:space="preserve">25 elective primary THA/TKA </w:t>
            </w:r>
            <w:r w:rsidR="00953B46">
              <w:rPr>
                <w:rFonts w:cstheme="minorHAnsi"/>
                <w:bCs/>
              </w:rPr>
              <w:t>patients with PRO data</w:t>
            </w:r>
            <w:r w:rsidR="00F63B97">
              <w:rPr>
                <w:rFonts w:cstheme="minorHAnsi"/>
                <w:bCs/>
              </w:rPr>
              <w:t xml:space="preserve"> during the one-year measurement period, the mean respo</w:t>
            </w:r>
            <w:r w:rsidR="00933FDD">
              <w:rPr>
                <w:rFonts w:cstheme="minorHAnsi"/>
                <w:bCs/>
              </w:rPr>
              <w:t>nse rate among hospitals was</w:t>
            </w:r>
            <w:r w:rsidR="00F63B97">
              <w:rPr>
                <w:rFonts w:cstheme="minorHAnsi"/>
                <w:bCs/>
              </w:rPr>
              <w:t xml:space="preserve"> </w:t>
            </w:r>
            <w:r w:rsidR="00B2221E">
              <w:rPr>
                <w:rFonts w:cstheme="minorHAnsi"/>
                <w:bCs/>
              </w:rPr>
              <w:t>43.15%</w:t>
            </w:r>
            <w:r w:rsidR="00675726">
              <w:rPr>
                <w:rFonts w:cstheme="minorHAnsi"/>
                <w:bCs/>
              </w:rPr>
              <w:t xml:space="preserve"> (See Table 1</w:t>
            </w:r>
            <w:r w:rsidR="00953B46">
              <w:rPr>
                <w:rFonts w:cstheme="minorHAnsi"/>
                <w:bCs/>
              </w:rPr>
              <w:t>3</w:t>
            </w:r>
            <w:r w:rsidR="00675726">
              <w:rPr>
                <w:rFonts w:cstheme="minorHAnsi"/>
                <w:bCs/>
              </w:rPr>
              <w:t>, below)</w:t>
            </w:r>
            <w:r w:rsidR="00FA3363">
              <w:rPr>
                <w:rFonts w:cstheme="minorHAnsi"/>
                <w:bCs/>
              </w:rPr>
              <w:t>. The CJR model required either a minimum percentage or an absolute minimum number of PRO cases be submitted to qualify for the quality point incentive; the thresholds in CJR performance years one and two were 50% of or 50 eligible cases and 60% of or 75 eligible cases, respectively.</w:t>
            </w:r>
          </w:p>
          <w:p w14:paraId="42E88FC1" w14:textId="328999B7" w:rsidR="009F0202" w:rsidRPr="0082144F" w:rsidRDefault="009F0202" w:rsidP="002B52E5">
            <w:pPr>
              <w:autoSpaceDE w:val="0"/>
              <w:autoSpaceDN w:val="0"/>
              <w:adjustRightInd w:val="0"/>
              <w:rPr>
                <w:rFonts w:cstheme="minorHAnsi"/>
                <w:bCs/>
              </w:rPr>
            </w:pPr>
          </w:p>
          <w:p w14:paraId="4947229D" w14:textId="37794D7E" w:rsidR="00D079DE" w:rsidRPr="0082144F" w:rsidRDefault="00D079DE" w:rsidP="002B52E5">
            <w:pPr>
              <w:rPr>
                <w:rFonts w:cstheme="minorHAnsi"/>
                <w:bCs/>
              </w:rPr>
            </w:pPr>
            <w:r>
              <w:rPr>
                <w:rFonts w:cstheme="minorHAnsi"/>
                <w:bCs/>
              </w:rPr>
              <w:t>T</w:t>
            </w:r>
            <w:r w:rsidRPr="0082144F">
              <w:rPr>
                <w:rFonts w:cstheme="minorHAnsi"/>
                <w:bCs/>
              </w:rPr>
              <w:t xml:space="preserve">o </w:t>
            </w:r>
            <w:r>
              <w:t xml:space="preserve">address potential response bias using stabilized inverse probability weighting, created with </w:t>
            </w:r>
            <w:r w:rsidR="009F0202" w:rsidRPr="0082144F">
              <w:rPr>
                <w:rFonts w:cstheme="minorHAnsi"/>
                <w:bCs/>
              </w:rPr>
              <w:t>a multinomial logistic regression to calculate stabilized inverse probability weights</w:t>
            </w:r>
            <w:r w:rsidR="00035579" w:rsidRPr="0082144F">
              <w:t xml:space="preserve">. </w:t>
            </w:r>
            <w:r w:rsidRPr="0082144F">
              <w:t>We check</w:t>
            </w:r>
            <w:r>
              <w:t>ed</w:t>
            </w:r>
            <w:r w:rsidRPr="0082144F">
              <w:t xml:space="preserve"> for model fit of the propensity score model by Hosmer Lemeshow test for goodness of fit </w:t>
            </w:r>
            <w:r>
              <w:t>and did not find evidence of lack of fit (</w:t>
            </w:r>
            <w:r w:rsidRPr="00F319B0">
              <w:rPr>
                <w:rFonts w:cstheme="minorHAnsi"/>
                <w:bCs/>
              </w:rPr>
              <w:t xml:space="preserve">Hosmer-Lemeshow </w:t>
            </w:r>
            <w:r>
              <w:rPr>
                <w:rFonts w:cstheme="minorHAnsi"/>
                <w:bCs/>
              </w:rPr>
              <w:t xml:space="preserve">statistic was 12.06, </w:t>
            </w:r>
            <w:r w:rsidRPr="00F319B0">
              <w:rPr>
                <w:rFonts w:cstheme="minorHAnsi"/>
                <w:bCs/>
              </w:rPr>
              <w:t>p</w:t>
            </w:r>
            <w:r>
              <w:rPr>
                <w:rFonts w:cstheme="minorHAnsi"/>
                <w:bCs/>
              </w:rPr>
              <w:t>-</w:t>
            </w:r>
            <w:r w:rsidRPr="00F319B0">
              <w:rPr>
                <w:rFonts w:cstheme="minorHAnsi"/>
                <w:bCs/>
              </w:rPr>
              <w:t>value</w:t>
            </w:r>
            <w:r>
              <w:rPr>
                <w:rFonts w:cstheme="minorHAnsi"/>
                <w:bCs/>
              </w:rPr>
              <w:t xml:space="preserve"> =</w:t>
            </w:r>
            <w:r w:rsidRPr="00F319B0">
              <w:rPr>
                <w:rFonts w:cstheme="minorHAnsi"/>
                <w:bCs/>
              </w:rPr>
              <w:t xml:space="preserve"> 0.</w:t>
            </w:r>
            <w:r w:rsidR="00A042AB">
              <w:rPr>
                <w:rFonts w:cstheme="minorHAnsi"/>
                <w:bCs/>
              </w:rPr>
              <w:t>15</w:t>
            </w:r>
            <w:r w:rsidRPr="00F319B0">
              <w:rPr>
                <w:rFonts w:cstheme="minorHAnsi"/>
                <w:bCs/>
              </w:rPr>
              <w:t>)</w:t>
            </w:r>
            <w:r w:rsidRPr="0082144F">
              <w:t>.</w:t>
            </w:r>
            <w:r>
              <w:t xml:space="preserve"> </w:t>
            </w:r>
          </w:p>
          <w:p w14:paraId="5E9A2C95" w14:textId="77777777" w:rsidR="00035579" w:rsidRPr="0082144F" w:rsidRDefault="00035579" w:rsidP="002B52E5"/>
          <w:p w14:paraId="67076AAC" w14:textId="24E4ACAB" w:rsidR="00E1529F" w:rsidRPr="008E03F0" w:rsidRDefault="00933FDD" w:rsidP="008E03F0">
            <w:pPr>
              <w:pStyle w:val="Caption"/>
              <w:jc w:val="left"/>
              <w:rPr>
                <w:b w:val="0"/>
                <w:szCs w:val="22"/>
              </w:rPr>
            </w:pPr>
            <w:r w:rsidRPr="00675726">
              <w:rPr>
                <w:b w:val="0"/>
              </w:rPr>
              <w:lastRenderedPageBreak/>
              <w:t xml:space="preserve">Results of the </w:t>
            </w:r>
            <w:r w:rsidR="00035579" w:rsidRPr="00675726">
              <w:rPr>
                <w:b w:val="0"/>
              </w:rPr>
              <w:t>stabilized inverse probability weighting</w:t>
            </w:r>
            <w:r w:rsidRPr="00675726">
              <w:rPr>
                <w:b w:val="0"/>
              </w:rPr>
              <w:t xml:space="preserve"> to address potential non-response bias</w:t>
            </w:r>
            <w:r w:rsidR="00675726" w:rsidRPr="00675726">
              <w:rPr>
                <w:b w:val="0"/>
              </w:rPr>
              <w:t xml:space="preserve"> are reflected in the comparison of </w:t>
            </w:r>
            <w:r w:rsidR="00675726">
              <w:rPr>
                <w:b w:val="0"/>
              </w:rPr>
              <w:t>mean and d</w:t>
            </w:r>
            <w:r w:rsidR="00675726" w:rsidRPr="00675726">
              <w:rPr>
                <w:b w:val="0"/>
                <w:szCs w:val="22"/>
              </w:rPr>
              <w:t xml:space="preserve">istribution of </w:t>
            </w:r>
            <w:r w:rsidR="00675726">
              <w:rPr>
                <w:b w:val="0"/>
                <w:szCs w:val="22"/>
              </w:rPr>
              <w:t xml:space="preserve">hospital </w:t>
            </w:r>
            <w:r w:rsidR="00675726" w:rsidRPr="00675726">
              <w:rPr>
                <w:b w:val="0"/>
                <w:szCs w:val="22"/>
              </w:rPr>
              <w:t xml:space="preserve">RSIRs for </w:t>
            </w:r>
            <w:r w:rsidR="00675726">
              <w:rPr>
                <w:b w:val="0"/>
                <w:szCs w:val="22"/>
              </w:rPr>
              <w:t>risk-adjusted model of</w:t>
            </w:r>
            <w:r w:rsidR="00675726" w:rsidRPr="00675726">
              <w:rPr>
                <w:b w:val="0"/>
                <w:szCs w:val="22"/>
              </w:rPr>
              <w:t xml:space="preserve"> SCB </w:t>
            </w:r>
            <w:r w:rsidR="00675726">
              <w:rPr>
                <w:b w:val="0"/>
                <w:szCs w:val="22"/>
              </w:rPr>
              <w:t>i</w:t>
            </w:r>
            <w:r w:rsidR="00675726" w:rsidRPr="00675726">
              <w:rPr>
                <w:b w:val="0"/>
                <w:szCs w:val="22"/>
              </w:rPr>
              <w:t xml:space="preserve">mprovement </w:t>
            </w:r>
            <w:r w:rsidR="00675726">
              <w:rPr>
                <w:b w:val="0"/>
                <w:szCs w:val="22"/>
              </w:rPr>
              <w:t>w</w:t>
            </w:r>
            <w:r w:rsidR="00675726" w:rsidRPr="00675726">
              <w:rPr>
                <w:b w:val="0"/>
                <w:szCs w:val="22"/>
              </w:rPr>
              <w:t xml:space="preserve">ith and </w:t>
            </w:r>
            <w:r w:rsidR="00675726">
              <w:rPr>
                <w:b w:val="0"/>
                <w:szCs w:val="22"/>
              </w:rPr>
              <w:t>w</w:t>
            </w:r>
            <w:r w:rsidR="00EF5F3F">
              <w:rPr>
                <w:b w:val="0"/>
                <w:szCs w:val="22"/>
              </w:rPr>
              <w:t>ithout stabilized inverse probability w</w:t>
            </w:r>
            <w:r w:rsidR="00675726" w:rsidRPr="00675726">
              <w:rPr>
                <w:b w:val="0"/>
                <w:szCs w:val="22"/>
              </w:rPr>
              <w:t>eighting (Table 1</w:t>
            </w:r>
            <w:r w:rsidR="00953B46">
              <w:rPr>
                <w:b w:val="0"/>
                <w:szCs w:val="22"/>
              </w:rPr>
              <w:t>4</w:t>
            </w:r>
            <w:r w:rsidR="00675726" w:rsidRPr="00675726">
              <w:rPr>
                <w:b w:val="0"/>
                <w:szCs w:val="22"/>
              </w:rPr>
              <w:t xml:space="preserve">, below). </w:t>
            </w:r>
          </w:p>
        </w:tc>
      </w:tr>
    </w:tbl>
    <w:p w14:paraId="0CABD01D" w14:textId="360EE6E0" w:rsidR="008F7E67" w:rsidRDefault="008F7E67" w:rsidP="008F7E67">
      <w:pPr>
        <w:autoSpaceDE w:val="0"/>
        <w:autoSpaceDN w:val="0"/>
        <w:adjustRightInd w:val="0"/>
        <w:spacing w:after="0" w:line="240" w:lineRule="auto"/>
        <w:rPr>
          <w:rFonts w:cstheme="minorHAnsi"/>
          <w:bCs/>
        </w:rPr>
      </w:pPr>
    </w:p>
    <w:p w14:paraId="7AE23F73" w14:textId="56B0F6AB" w:rsidR="00675726" w:rsidRPr="00966B01" w:rsidRDefault="00675726" w:rsidP="0067258C">
      <w:pPr>
        <w:pStyle w:val="Caption"/>
        <w:spacing w:line="240" w:lineRule="auto"/>
        <w:jc w:val="left"/>
        <w:rPr>
          <w:szCs w:val="22"/>
        </w:rPr>
      </w:pPr>
      <w:r w:rsidRPr="00966B01">
        <w:rPr>
          <w:szCs w:val="22"/>
        </w:rPr>
        <w:t>Table</w:t>
      </w:r>
      <w:r w:rsidRPr="00966B01">
        <w:rPr>
          <w:noProof/>
          <w:szCs w:val="22"/>
        </w:rPr>
        <w:t xml:space="preserve"> </w:t>
      </w:r>
      <w:r>
        <w:rPr>
          <w:noProof/>
          <w:szCs w:val="22"/>
        </w:rPr>
        <w:t>1</w:t>
      </w:r>
      <w:r w:rsidR="00953B46">
        <w:rPr>
          <w:noProof/>
          <w:szCs w:val="22"/>
        </w:rPr>
        <w:t>3</w:t>
      </w:r>
      <w:r w:rsidRPr="00966B01">
        <w:rPr>
          <w:szCs w:val="22"/>
        </w:rPr>
        <w:t xml:space="preserve">. Mean and Distribution of </w:t>
      </w:r>
      <w:r>
        <w:rPr>
          <w:szCs w:val="22"/>
        </w:rPr>
        <w:t xml:space="preserve">Hospital </w:t>
      </w:r>
      <w:r w:rsidRPr="00966B01">
        <w:rPr>
          <w:szCs w:val="22"/>
        </w:rPr>
        <w:t>R</w:t>
      </w:r>
      <w:r>
        <w:rPr>
          <w:szCs w:val="22"/>
        </w:rPr>
        <w:t>esponse Rates (for Complete PRO and Risk Variable Data</w:t>
      </w:r>
      <w:r w:rsidR="00941EAB">
        <w:rPr>
          <w:szCs w:val="22"/>
        </w:rPr>
        <w:t xml:space="preserve">, </w:t>
      </w:r>
      <w:r w:rsidR="00B164B8">
        <w:rPr>
          <w:szCs w:val="22"/>
        </w:rPr>
        <w:t>Combined Dataset</w:t>
      </w:r>
      <w:r>
        <w:rPr>
          <w:szCs w:val="22"/>
        </w:rPr>
        <w:t>)</w:t>
      </w:r>
      <w:r w:rsidRPr="00966B01">
        <w:rPr>
          <w:szCs w:val="22"/>
        </w:rPr>
        <w:t xml:space="preserve"> </w:t>
      </w:r>
    </w:p>
    <w:tbl>
      <w:tblPr>
        <w:tblStyle w:val="TableGrid"/>
        <w:tblW w:w="0" w:type="auto"/>
        <w:tblLook w:val="04A0" w:firstRow="1" w:lastRow="0" w:firstColumn="1" w:lastColumn="0" w:noHBand="0" w:noVBand="1"/>
      </w:tblPr>
      <w:tblGrid>
        <w:gridCol w:w="2158"/>
        <w:gridCol w:w="3147"/>
        <w:gridCol w:w="3147"/>
      </w:tblGrid>
      <w:tr w:rsidR="00675726" w:rsidRPr="00EC77AC" w14:paraId="5E32F3DA" w14:textId="77777777" w:rsidTr="009C1662">
        <w:tc>
          <w:tcPr>
            <w:tcW w:w="2158" w:type="dxa"/>
            <w:shd w:val="clear" w:color="auto" w:fill="DDEBF7"/>
          </w:tcPr>
          <w:p w14:paraId="54A91F81" w14:textId="0893E455" w:rsidR="00675726" w:rsidRPr="00EC77AC" w:rsidRDefault="00E71C5C" w:rsidP="009C1662">
            <w:pPr>
              <w:rPr>
                <w:b/>
              </w:rPr>
            </w:pPr>
            <w:r>
              <w:rPr>
                <w:b/>
              </w:rPr>
              <w:t>Summary Statistics</w:t>
            </w:r>
          </w:p>
        </w:tc>
        <w:tc>
          <w:tcPr>
            <w:tcW w:w="3147" w:type="dxa"/>
            <w:shd w:val="clear" w:color="auto" w:fill="DDEBF7"/>
          </w:tcPr>
          <w:p w14:paraId="772A7419" w14:textId="3F3A0478" w:rsidR="00675726" w:rsidRPr="00DA293C" w:rsidRDefault="00675726" w:rsidP="009C1662">
            <w:pPr>
              <w:jc w:val="center"/>
              <w:rPr>
                <w:b/>
              </w:rPr>
            </w:pPr>
            <w:r>
              <w:rPr>
                <w:b/>
              </w:rPr>
              <w:t>Response Rates (All Hospitals)</w:t>
            </w:r>
          </w:p>
        </w:tc>
        <w:tc>
          <w:tcPr>
            <w:tcW w:w="3147" w:type="dxa"/>
            <w:shd w:val="clear" w:color="auto" w:fill="DDEBF7"/>
          </w:tcPr>
          <w:p w14:paraId="32B4D3ED" w14:textId="5DF3E31F" w:rsidR="00675726" w:rsidRDefault="00675726" w:rsidP="00953B46">
            <w:pPr>
              <w:jc w:val="center"/>
              <w:rPr>
                <w:b/>
              </w:rPr>
            </w:pPr>
            <w:r>
              <w:rPr>
                <w:b/>
              </w:rPr>
              <w:t xml:space="preserve">Response Rates (Hospitals with </w:t>
            </w:r>
            <w:r w:rsidRPr="00675726">
              <w:rPr>
                <w:b/>
                <w:u w:val="single"/>
              </w:rPr>
              <w:t>&gt;</w:t>
            </w:r>
            <w:r>
              <w:rPr>
                <w:b/>
              </w:rPr>
              <w:t>25 THA/TKA P</w:t>
            </w:r>
            <w:r w:rsidR="00953B46">
              <w:rPr>
                <w:b/>
              </w:rPr>
              <w:t>atients with PRO Data</w:t>
            </w:r>
            <w:r>
              <w:rPr>
                <w:b/>
              </w:rPr>
              <w:t>)</w:t>
            </w:r>
          </w:p>
        </w:tc>
      </w:tr>
      <w:tr w:rsidR="00675726" w:rsidRPr="009514D8" w14:paraId="3DB81681" w14:textId="77777777" w:rsidTr="009C1662">
        <w:tc>
          <w:tcPr>
            <w:tcW w:w="2158" w:type="dxa"/>
          </w:tcPr>
          <w:p w14:paraId="63C1DA58" w14:textId="77777777" w:rsidR="00675726" w:rsidRPr="00EC77AC" w:rsidRDefault="00675726" w:rsidP="009C1662">
            <w:pPr>
              <w:rPr>
                <w:b/>
              </w:rPr>
            </w:pPr>
            <w:r w:rsidRPr="00EC77AC">
              <w:rPr>
                <w:b/>
              </w:rPr>
              <w:t>N (Hospitals)</w:t>
            </w:r>
          </w:p>
        </w:tc>
        <w:tc>
          <w:tcPr>
            <w:tcW w:w="3147" w:type="dxa"/>
          </w:tcPr>
          <w:p w14:paraId="1EE24E3E" w14:textId="45A9F7BF" w:rsidR="00675726" w:rsidRPr="009514D8" w:rsidRDefault="00675726" w:rsidP="009C1662">
            <w:pPr>
              <w:jc w:val="center"/>
              <w:rPr>
                <w:rFonts w:cstheme="minorHAnsi"/>
              </w:rPr>
            </w:pPr>
            <w:r>
              <w:rPr>
                <w:rFonts w:cstheme="minorHAnsi"/>
              </w:rPr>
              <w:t>238</w:t>
            </w:r>
          </w:p>
        </w:tc>
        <w:tc>
          <w:tcPr>
            <w:tcW w:w="3147" w:type="dxa"/>
          </w:tcPr>
          <w:p w14:paraId="6AE0660E" w14:textId="77777777" w:rsidR="00675726" w:rsidRPr="009514D8" w:rsidRDefault="00675726" w:rsidP="009C1662">
            <w:pPr>
              <w:jc w:val="center"/>
              <w:rPr>
                <w:rFonts w:cstheme="minorHAnsi"/>
              </w:rPr>
            </w:pPr>
            <w:r>
              <w:rPr>
                <w:rFonts w:cstheme="minorHAnsi"/>
              </w:rPr>
              <w:t>123</w:t>
            </w:r>
          </w:p>
        </w:tc>
      </w:tr>
      <w:tr w:rsidR="00DC5E2C" w:rsidRPr="009514D8" w14:paraId="504B05A9" w14:textId="77777777" w:rsidTr="009C1662">
        <w:tc>
          <w:tcPr>
            <w:tcW w:w="2158" w:type="dxa"/>
          </w:tcPr>
          <w:p w14:paraId="5A443099" w14:textId="77777777" w:rsidR="00DC5E2C" w:rsidRPr="00EC77AC" w:rsidRDefault="00DC5E2C" w:rsidP="00DC5E2C">
            <w:pPr>
              <w:rPr>
                <w:b/>
              </w:rPr>
            </w:pPr>
            <w:r w:rsidRPr="00EC77AC">
              <w:rPr>
                <w:b/>
              </w:rPr>
              <w:t>Mean (SD)</w:t>
            </w:r>
          </w:p>
        </w:tc>
        <w:tc>
          <w:tcPr>
            <w:tcW w:w="3147" w:type="dxa"/>
          </w:tcPr>
          <w:p w14:paraId="05094057" w14:textId="2A1A5B81" w:rsidR="00DC5E2C" w:rsidRPr="009514D8" w:rsidRDefault="00DC5E2C" w:rsidP="00DC5E2C">
            <w:pPr>
              <w:jc w:val="center"/>
              <w:rPr>
                <w:rFonts w:cstheme="minorHAnsi"/>
                <w:color w:val="000000"/>
              </w:rPr>
            </w:pPr>
            <w:r>
              <w:rPr>
                <w:rFonts w:cstheme="minorHAnsi"/>
                <w:color w:val="000000"/>
              </w:rPr>
              <w:t>30.62% (22.79)</w:t>
            </w:r>
          </w:p>
        </w:tc>
        <w:tc>
          <w:tcPr>
            <w:tcW w:w="3147" w:type="dxa"/>
          </w:tcPr>
          <w:p w14:paraId="4EF60C84" w14:textId="124DE72C" w:rsidR="00DC5E2C" w:rsidRPr="009514D8" w:rsidRDefault="00DC5E2C" w:rsidP="00DC5E2C">
            <w:pPr>
              <w:jc w:val="center"/>
              <w:rPr>
                <w:rFonts w:cstheme="minorHAnsi"/>
                <w:color w:val="000000"/>
              </w:rPr>
            </w:pPr>
            <w:r>
              <w:rPr>
                <w:rFonts w:cstheme="minorHAnsi"/>
                <w:color w:val="000000"/>
              </w:rPr>
              <w:t>43.17 (20.52)</w:t>
            </w:r>
          </w:p>
        </w:tc>
      </w:tr>
      <w:tr w:rsidR="00DC5E2C" w:rsidRPr="009514D8" w14:paraId="3882842C" w14:textId="77777777" w:rsidTr="009C1662">
        <w:tc>
          <w:tcPr>
            <w:tcW w:w="2158" w:type="dxa"/>
          </w:tcPr>
          <w:p w14:paraId="6924F8D6" w14:textId="77777777" w:rsidR="00DC5E2C" w:rsidRPr="00EC77AC" w:rsidRDefault="00DC5E2C" w:rsidP="00DC5E2C">
            <w:pPr>
              <w:rPr>
                <w:b/>
              </w:rPr>
            </w:pPr>
            <w:r w:rsidRPr="00EC77AC">
              <w:rPr>
                <w:b/>
              </w:rPr>
              <w:t>Percentile</w:t>
            </w:r>
          </w:p>
        </w:tc>
        <w:tc>
          <w:tcPr>
            <w:tcW w:w="3147" w:type="dxa"/>
            <w:tcBorders>
              <w:bottom w:val="single" w:sz="4" w:space="0" w:color="auto"/>
            </w:tcBorders>
          </w:tcPr>
          <w:p w14:paraId="4A6B1EC8" w14:textId="77777777" w:rsidR="00DC5E2C" w:rsidRPr="009514D8" w:rsidRDefault="00DC5E2C" w:rsidP="00DC5E2C">
            <w:pPr>
              <w:jc w:val="center"/>
              <w:rPr>
                <w:rFonts w:cstheme="minorHAnsi"/>
              </w:rPr>
            </w:pPr>
          </w:p>
        </w:tc>
        <w:tc>
          <w:tcPr>
            <w:tcW w:w="3147" w:type="dxa"/>
            <w:tcBorders>
              <w:bottom w:val="single" w:sz="4" w:space="0" w:color="auto"/>
            </w:tcBorders>
          </w:tcPr>
          <w:p w14:paraId="0A88ADDC" w14:textId="77777777" w:rsidR="00DC5E2C" w:rsidRPr="009514D8" w:rsidRDefault="00DC5E2C" w:rsidP="00DC5E2C">
            <w:pPr>
              <w:jc w:val="center"/>
              <w:rPr>
                <w:rFonts w:cstheme="minorHAnsi"/>
              </w:rPr>
            </w:pPr>
          </w:p>
        </w:tc>
      </w:tr>
      <w:tr w:rsidR="00DC5E2C" w:rsidRPr="009514D8" w14:paraId="020500DD" w14:textId="77777777" w:rsidTr="009C1662">
        <w:tc>
          <w:tcPr>
            <w:tcW w:w="2158" w:type="dxa"/>
          </w:tcPr>
          <w:p w14:paraId="02156F1E" w14:textId="77777777" w:rsidR="00DC5E2C" w:rsidRDefault="00DC5E2C" w:rsidP="00DC5E2C">
            <w:pPr>
              <w:rPr>
                <w:b/>
              </w:rPr>
            </w:pPr>
            <w:r>
              <w:rPr>
                <w:b/>
              </w:rPr>
              <w:t>100% Max</w:t>
            </w:r>
          </w:p>
        </w:tc>
        <w:tc>
          <w:tcPr>
            <w:tcW w:w="3147" w:type="dxa"/>
            <w:tcBorders>
              <w:top w:val="single" w:sz="4" w:space="0" w:color="auto"/>
              <w:left w:val="nil"/>
              <w:bottom w:val="single" w:sz="4" w:space="0" w:color="auto"/>
              <w:right w:val="single" w:sz="4" w:space="0" w:color="auto"/>
            </w:tcBorders>
            <w:shd w:val="clear" w:color="auto" w:fill="auto"/>
            <w:vAlign w:val="bottom"/>
          </w:tcPr>
          <w:p w14:paraId="0B54914B" w14:textId="1B9C800B" w:rsidR="00DC5E2C" w:rsidRPr="009514D8" w:rsidRDefault="00DC5E2C" w:rsidP="00DC5E2C">
            <w:pPr>
              <w:jc w:val="center"/>
              <w:rPr>
                <w:rFonts w:cstheme="minorHAnsi"/>
              </w:rPr>
            </w:pPr>
            <w:r>
              <w:rPr>
                <w:rFonts w:ascii="Calibri" w:hAnsi="Calibri"/>
                <w:color w:val="000000"/>
              </w:rPr>
              <w:t>100.00%</w:t>
            </w:r>
          </w:p>
        </w:tc>
        <w:tc>
          <w:tcPr>
            <w:tcW w:w="3147" w:type="dxa"/>
            <w:tcBorders>
              <w:top w:val="single" w:sz="4" w:space="0" w:color="auto"/>
              <w:left w:val="nil"/>
              <w:bottom w:val="single" w:sz="4" w:space="0" w:color="auto"/>
              <w:right w:val="single" w:sz="4" w:space="0" w:color="auto"/>
            </w:tcBorders>
          </w:tcPr>
          <w:p w14:paraId="465690FC" w14:textId="51AA45E5" w:rsidR="00DC5E2C" w:rsidRPr="009514D8" w:rsidRDefault="00DC5E2C" w:rsidP="00DC5E2C">
            <w:pPr>
              <w:jc w:val="center"/>
              <w:rPr>
                <w:rFonts w:cstheme="minorHAnsi"/>
              </w:rPr>
            </w:pPr>
            <w:r>
              <w:rPr>
                <w:rFonts w:cstheme="minorHAnsi"/>
              </w:rPr>
              <w:t>90.50%</w:t>
            </w:r>
          </w:p>
        </w:tc>
      </w:tr>
      <w:tr w:rsidR="00DC5E2C" w:rsidRPr="009514D8" w14:paraId="54796CC3" w14:textId="77777777" w:rsidTr="009C1662">
        <w:tc>
          <w:tcPr>
            <w:tcW w:w="2158" w:type="dxa"/>
          </w:tcPr>
          <w:p w14:paraId="14FEC301" w14:textId="77777777" w:rsidR="00DC5E2C" w:rsidRPr="00EC77AC" w:rsidRDefault="00DC5E2C" w:rsidP="00DC5E2C">
            <w:pPr>
              <w:rPr>
                <w:b/>
              </w:rPr>
            </w:pPr>
            <w:r>
              <w:rPr>
                <w:b/>
              </w:rPr>
              <w:t>99%</w:t>
            </w:r>
          </w:p>
        </w:tc>
        <w:tc>
          <w:tcPr>
            <w:tcW w:w="3147" w:type="dxa"/>
            <w:tcBorders>
              <w:top w:val="single" w:sz="4" w:space="0" w:color="auto"/>
              <w:left w:val="nil"/>
              <w:bottom w:val="single" w:sz="4" w:space="0" w:color="auto"/>
              <w:right w:val="single" w:sz="4" w:space="0" w:color="auto"/>
            </w:tcBorders>
            <w:shd w:val="clear" w:color="auto" w:fill="auto"/>
            <w:vAlign w:val="bottom"/>
          </w:tcPr>
          <w:p w14:paraId="0C8BB0FF" w14:textId="5DE8D7F9" w:rsidR="00DC5E2C" w:rsidRPr="009514D8" w:rsidRDefault="00DC5E2C" w:rsidP="00DC5E2C">
            <w:pPr>
              <w:jc w:val="center"/>
              <w:rPr>
                <w:rFonts w:cstheme="minorHAnsi"/>
              </w:rPr>
            </w:pPr>
            <w:r>
              <w:rPr>
                <w:rFonts w:ascii="Calibri" w:hAnsi="Calibri"/>
                <w:color w:val="000000"/>
              </w:rPr>
              <w:t>84.78%</w:t>
            </w:r>
          </w:p>
        </w:tc>
        <w:tc>
          <w:tcPr>
            <w:tcW w:w="3147" w:type="dxa"/>
            <w:tcBorders>
              <w:top w:val="single" w:sz="4" w:space="0" w:color="auto"/>
              <w:left w:val="nil"/>
              <w:bottom w:val="single" w:sz="4" w:space="0" w:color="auto"/>
              <w:right w:val="single" w:sz="4" w:space="0" w:color="auto"/>
            </w:tcBorders>
          </w:tcPr>
          <w:p w14:paraId="6611D085" w14:textId="0C484F67" w:rsidR="00DC5E2C" w:rsidRPr="009514D8" w:rsidRDefault="00DC5E2C" w:rsidP="00DC5E2C">
            <w:pPr>
              <w:jc w:val="center"/>
              <w:rPr>
                <w:rFonts w:cstheme="minorHAnsi"/>
              </w:rPr>
            </w:pPr>
            <w:r>
              <w:rPr>
                <w:rFonts w:cstheme="minorHAnsi"/>
              </w:rPr>
              <w:t>89.66%</w:t>
            </w:r>
          </w:p>
        </w:tc>
      </w:tr>
      <w:tr w:rsidR="00DC5E2C" w:rsidRPr="009514D8" w14:paraId="61A4B9D3" w14:textId="77777777" w:rsidTr="009C1662">
        <w:tc>
          <w:tcPr>
            <w:tcW w:w="2158" w:type="dxa"/>
          </w:tcPr>
          <w:p w14:paraId="514E44A3" w14:textId="77777777" w:rsidR="00DC5E2C" w:rsidRPr="00EC77AC" w:rsidRDefault="00DC5E2C" w:rsidP="00DC5E2C">
            <w:pPr>
              <w:rPr>
                <w:b/>
              </w:rPr>
            </w:pPr>
            <w:r w:rsidRPr="00EC77AC">
              <w:rPr>
                <w:b/>
              </w:rPr>
              <w:t>95%</w:t>
            </w:r>
          </w:p>
        </w:tc>
        <w:tc>
          <w:tcPr>
            <w:tcW w:w="3147" w:type="dxa"/>
            <w:tcBorders>
              <w:top w:val="single" w:sz="4" w:space="0" w:color="auto"/>
              <w:left w:val="nil"/>
              <w:bottom w:val="single" w:sz="4" w:space="0" w:color="auto"/>
              <w:right w:val="single" w:sz="4" w:space="0" w:color="auto"/>
            </w:tcBorders>
            <w:shd w:val="clear" w:color="auto" w:fill="auto"/>
            <w:vAlign w:val="bottom"/>
          </w:tcPr>
          <w:p w14:paraId="42AC0C36" w14:textId="48B24B37" w:rsidR="00DC5E2C" w:rsidRPr="009514D8" w:rsidRDefault="00DC5E2C" w:rsidP="00DC5E2C">
            <w:pPr>
              <w:jc w:val="center"/>
              <w:rPr>
                <w:rFonts w:cstheme="minorHAnsi"/>
              </w:rPr>
            </w:pPr>
            <w:r>
              <w:rPr>
                <w:rFonts w:ascii="Calibri" w:hAnsi="Calibri"/>
                <w:color w:val="000000"/>
              </w:rPr>
              <w:t>74.29%</w:t>
            </w:r>
          </w:p>
        </w:tc>
        <w:tc>
          <w:tcPr>
            <w:tcW w:w="3147" w:type="dxa"/>
            <w:tcBorders>
              <w:top w:val="single" w:sz="4" w:space="0" w:color="auto"/>
              <w:left w:val="nil"/>
              <w:bottom w:val="single" w:sz="4" w:space="0" w:color="auto"/>
              <w:right w:val="single" w:sz="4" w:space="0" w:color="auto"/>
            </w:tcBorders>
          </w:tcPr>
          <w:p w14:paraId="5D5D5C24" w14:textId="4D1ADF1C" w:rsidR="00DC5E2C" w:rsidRPr="009514D8" w:rsidRDefault="00DC5E2C" w:rsidP="00DC5E2C">
            <w:pPr>
              <w:jc w:val="center"/>
              <w:rPr>
                <w:rFonts w:cstheme="minorHAnsi"/>
              </w:rPr>
            </w:pPr>
            <w:r>
              <w:rPr>
                <w:rFonts w:cstheme="minorHAnsi"/>
              </w:rPr>
              <w:t>79.64%</w:t>
            </w:r>
          </w:p>
        </w:tc>
      </w:tr>
      <w:tr w:rsidR="00DC5E2C" w:rsidRPr="009514D8" w14:paraId="1A6FCFFC" w14:textId="77777777" w:rsidTr="009C1662">
        <w:tc>
          <w:tcPr>
            <w:tcW w:w="2158" w:type="dxa"/>
          </w:tcPr>
          <w:p w14:paraId="0779D150" w14:textId="77777777" w:rsidR="00DC5E2C" w:rsidRPr="00EC77AC" w:rsidRDefault="00DC5E2C" w:rsidP="00DC5E2C">
            <w:pPr>
              <w:rPr>
                <w:b/>
              </w:rPr>
            </w:pPr>
            <w:r w:rsidRPr="00EC77AC">
              <w:rPr>
                <w:b/>
              </w:rPr>
              <w:t>90%</w:t>
            </w:r>
          </w:p>
        </w:tc>
        <w:tc>
          <w:tcPr>
            <w:tcW w:w="3147" w:type="dxa"/>
            <w:tcBorders>
              <w:top w:val="single" w:sz="4" w:space="0" w:color="auto"/>
              <w:left w:val="nil"/>
              <w:bottom w:val="single" w:sz="4" w:space="0" w:color="auto"/>
              <w:right w:val="single" w:sz="4" w:space="0" w:color="auto"/>
            </w:tcBorders>
            <w:shd w:val="clear" w:color="auto" w:fill="auto"/>
            <w:vAlign w:val="bottom"/>
          </w:tcPr>
          <w:p w14:paraId="675F8EA0" w14:textId="7AFC5C10" w:rsidR="00DC5E2C" w:rsidRPr="009514D8" w:rsidRDefault="00DC5E2C" w:rsidP="00DC5E2C">
            <w:pPr>
              <w:jc w:val="center"/>
              <w:rPr>
                <w:rFonts w:cstheme="minorHAnsi"/>
              </w:rPr>
            </w:pPr>
            <w:r>
              <w:rPr>
                <w:rFonts w:ascii="Calibri" w:hAnsi="Calibri"/>
                <w:color w:val="000000"/>
              </w:rPr>
              <w:t>61.45%</w:t>
            </w:r>
          </w:p>
        </w:tc>
        <w:tc>
          <w:tcPr>
            <w:tcW w:w="3147" w:type="dxa"/>
            <w:tcBorders>
              <w:top w:val="single" w:sz="4" w:space="0" w:color="auto"/>
              <w:left w:val="nil"/>
              <w:bottom w:val="single" w:sz="4" w:space="0" w:color="auto"/>
              <w:right w:val="single" w:sz="4" w:space="0" w:color="auto"/>
            </w:tcBorders>
          </w:tcPr>
          <w:p w14:paraId="57EF828A" w14:textId="1AEE13F5" w:rsidR="00DC5E2C" w:rsidRPr="009514D8" w:rsidRDefault="00DC5E2C" w:rsidP="00DC5E2C">
            <w:pPr>
              <w:jc w:val="center"/>
              <w:rPr>
                <w:rFonts w:cstheme="minorHAnsi"/>
              </w:rPr>
            </w:pPr>
            <w:r>
              <w:rPr>
                <w:rFonts w:cstheme="minorHAnsi"/>
              </w:rPr>
              <w:t>69.66%</w:t>
            </w:r>
          </w:p>
        </w:tc>
      </w:tr>
      <w:tr w:rsidR="00DC5E2C" w:rsidRPr="009514D8" w14:paraId="17BA2BFD" w14:textId="77777777" w:rsidTr="009C1662">
        <w:tc>
          <w:tcPr>
            <w:tcW w:w="2158" w:type="dxa"/>
          </w:tcPr>
          <w:p w14:paraId="4E8AC6F2" w14:textId="77777777" w:rsidR="00DC5E2C" w:rsidRPr="00EC77AC" w:rsidRDefault="00DC5E2C" w:rsidP="00DC5E2C">
            <w:pPr>
              <w:rPr>
                <w:b/>
              </w:rPr>
            </w:pPr>
            <w:r w:rsidRPr="00EC77AC">
              <w:rPr>
                <w:b/>
              </w:rPr>
              <w:t>75% (Q3)</w:t>
            </w:r>
          </w:p>
        </w:tc>
        <w:tc>
          <w:tcPr>
            <w:tcW w:w="3147" w:type="dxa"/>
            <w:tcBorders>
              <w:top w:val="single" w:sz="4" w:space="0" w:color="auto"/>
              <w:left w:val="nil"/>
              <w:bottom w:val="single" w:sz="4" w:space="0" w:color="auto"/>
              <w:right w:val="single" w:sz="4" w:space="0" w:color="auto"/>
            </w:tcBorders>
            <w:shd w:val="clear" w:color="auto" w:fill="auto"/>
            <w:vAlign w:val="bottom"/>
          </w:tcPr>
          <w:p w14:paraId="3CFF07EF" w14:textId="3E64BEE9" w:rsidR="00DC5E2C" w:rsidRPr="009514D8" w:rsidRDefault="00DC5E2C" w:rsidP="00DC5E2C">
            <w:pPr>
              <w:jc w:val="center"/>
              <w:rPr>
                <w:rFonts w:cstheme="minorHAnsi"/>
              </w:rPr>
            </w:pPr>
            <w:r>
              <w:rPr>
                <w:rFonts w:ascii="Calibri" w:hAnsi="Calibri"/>
                <w:color w:val="000000"/>
              </w:rPr>
              <w:t>46.23%</w:t>
            </w:r>
          </w:p>
        </w:tc>
        <w:tc>
          <w:tcPr>
            <w:tcW w:w="3147" w:type="dxa"/>
            <w:tcBorders>
              <w:top w:val="single" w:sz="4" w:space="0" w:color="auto"/>
              <w:left w:val="nil"/>
              <w:bottom w:val="single" w:sz="4" w:space="0" w:color="auto"/>
              <w:right w:val="single" w:sz="4" w:space="0" w:color="auto"/>
            </w:tcBorders>
          </w:tcPr>
          <w:p w14:paraId="1EE02362" w14:textId="3A806F3A" w:rsidR="00DC5E2C" w:rsidRPr="009514D8" w:rsidRDefault="00DC5E2C" w:rsidP="00DC5E2C">
            <w:pPr>
              <w:jc w:val="center"/>
              <w:rPr>
                <w:rFonts w:cstheme="minorHAnsi"/>
              </w:rPr>
            </w:pPr>
            <w:r>
              <w:rPr>
                <w:rFonts w:cstheme="minorHAnsi"/>
              </w:rPr>
              <w:t>60.58%</w:t>
            </w:r>
          </w:p>
        </w:tc>
      </w:tr>
      <w:tr w:rsidR="00DC5E2C" w:rsidRPr="009514D8" w14:paraId="3C6AB637" w14:textId="77777777" w:rsidTr="009C1662">
        <w:tc>
          <w:tcPr>
            <w:tcW w:w="2158" w:type="dxa"/>
          </w:tcPr>
          <w:p w14:paraId="5C364407" w14:textId="77777777" w:rsidR="00DC5E2C" w:rsidRPr="00EC77AC" w:rsidRDefault="00DC5E2C" w:rsidP="00DC5E2C">
            <w:pPr>
              <w:rPr>
                <w:b/>
              </w:rPr>
            </w:pPr>
            <w:r w:rsidRPr="00EC77AC">
              <w:rPr>
                <w:b/>
              </w:rPr>
              <w:t>50% (Median)</w:t>
            </w:r>
          </w:p>
        </w:tc>
        <w:tc>
          <w:tcPr>
            <w:tcW w:w="3147" w:type="dxa"/>
            <w:tcBorders>
              <w:top w:val="single" w:sz="4" w:space="0" w:color="auto"/>
              <w:left w:val="nil"/>
              <w:bottom w:val="single" w:sz="4" w:space="0" w:color="auto"/>
              <w:right w:val="single" w:sz="4" w:space="0" w:color="auto"/>
            </w:tcBorders>
            <w:shd w:val="clear" w:color="auto" w:fill="auto"/>
            <w:vAlign w:val="bottom"/>
          </w:tcPr>
          <w:p w14:paraId="28DCA672" w14:textId="39FCB61B" w:rsidR="00DC5E2C" w:rsidRPr="009514D8" w:rsidRDefault="00DC5E2C" w:rsidP="00DC5E2C">
            <w:pPr>
              <w:jc w:val="center"/>
              <w:rPr>
                <w:rFonts w:cstheme="minorHAnsi"/>
              </w:rPr>
            </w:pPr>
            <w:r>
              <w:rPr>
                <w:rFonts w:ascii="Calibri" w:hAnsi="Calibri"/>
                <w:color w:val="000000"/>
              </w:rPr>
              <w:t>27.88%</w:t>
            </w:r>
          </w:p>
        </w:tc>
        <w:tc>
          <w:tcPr>
            <w:tcW w:w="3147" w:type="dxa"/>
            <w:tcBorders>
              <w:top w:val="single" w:sz="4" w:space="0" w:color="auto"/>
              <w:left w:val="nil"/>
              <w:bottom w:val="single" w:sz="4" w:space="0" w:color="auto"/>
              <w:right w:val="single" w:sz="4" w:space="0" w:color="auto"/>
            </w:tcBorders>
          </w:tcPr>
          <w:p w14:paraId="33EA3E74" w14:textId="6C37DA03" w:rsidR="00DC5E2C" w:rsidRPr="009514D8" w:rsidRDefault="00DC5E2C" w:rsidP="00DC5E2C">
            <w:pPr>
              <w:jc w:val="center"/>
              <w:rPr>
                <w:rFonts w:cstheme="minorHAnsi"/>
              </w:rPr>
            </w:pPr>
            <w:r>
              <w:rPr>
                <w:rFonts w:cstheme="minorHAnsi"/>
              </w:rPr>
              <w:t>40.85%</w:t>
            </w:r>
          </w:p>
        </w:tc>
      </w:tr>
      <w:tr w:rsidR="00DC5E2C" w:rsidRPr="009514D8" w14:paraId="1BC494B0" w14:textId="77777777" w:rsidTr="009C1662">
        <w:tc>
          <w:tcPr>
            <w:tcW w:w="2158" w:type="dxa"/>
          </w:tcPr>
          <w:p w14:paraId="64DD4028" w14:textId="77777777" w:rsidR="00DC5E2C" w:rsidRPr="00EC77AC" w:rsidRDefault="00DC5E2C" w:rsidP="00DC5E2C">
            <w:pPr>
              <w:rPr>
                <w:b/>
              </w:rPr>
            </w:pPr>
            <w:r w:rsidRPr="00EC77AC">
              <w:rPr>
                <w:b/>
              </w:rPr>
              <w:t>25% (Q1)</w:t>
            </w:r>
          </w:p>
        </w:tc>
        <w:tc>
          <w:tcPr>
            <w:tcW w:w="3147" w:type="dxa"/>
            <w:tcBorders>
              <w:top w:val="single" w:sz="4" w:space="0" w:color="auto"/>
              <w:left w:val="nil"/>
              <w:bottom w:val="single" w:sz="4" w:space="0" w:color="auto"/>
              <w:right w:val="single" w:sz="4" w:space="0" w:color="auto"/>
            </w:tcBorders>
            <w:shd w:val="clear" w:color="auto" w:fill="auto"/>
            <w:vAlign w:val="bottom"/>
          </w:tcPr>
          <w:p w14:paraId="16F3391E" w14:textId="2EE2EBE6" w:rsidR="00DC5E2C" w:rsidRPr="009514D8" w:rsidRDefault="00DC5E2C" w:rsidP="00DC5E2C">
            <w:pPr>
              <w:jc w:val="center"/>
              <w:rPr>
                <w:rFonts w:cstheme="minorHAnsi"/>
              </w:rPr>
            </w:pPr>
            <w:r>
              <w:rPr>
                <w:rFonts w:ascii="Calibri" w:hAnsi="Calibri"/>
                <w:color w:val="000000"/>
              </w:rPr>
              <w:t>9.68%</w:t>
            </w:r>
          </w:p>
        </w:tc>
        <w:tc>
          <w:tcPr>
            <w:tcW w:w="3147" w:type="dxa"/>
            <w:tcBorders>
              <w:top w:val="single" w:sz="4" w:space="0" w:color="auto"/>
              <w:left w:val="nil"/>
              <w:bottom w:val="single" w:sz="4" w:space="0" w:color="auto"/>
              <w:right w:val="single" w:sz="4" w:space="0" w:color="auto"/>
            </w:tcBorders>
          </w:tcPr>
          <w:p w14:paraId="0BE2EDAC" w14:textId="35B38C0B" w:rsidR="00DC5E2C" w:rsidRPr="009514D8" w:rsidRDefault="00DC5E2C" w:rsidP="00DC5E2C">
            <w:pPr>
              <w:jc w:val="center"/>
              <w:rPr>
                <w:rFonts w:cstheme="minorHAnsi"/>
              </w:rPr>
            </w:pPr>
            <w:r>
              <w:rPr>
                <w:rFonts w:cstheme="minorHAnsi"/>
              </w:rPr>
              <w:t>28.34%</w:t>
            </w:r>
          </w:p>
        </w:tc>
      </w:tr>
      <w:tr w:rsidR="00DC5E2C" w:rsidRPr="009514D8" w14:paraId="65249D05" w14:textId="77777777" w:rsidTr="009C1662">
        <w:tc>
          <w:tcPr>
            <w:tcW w:w="2158" w:type="dxa"/>
          </w:tcPr>
          <w:p w14:paraId="5F88D610" w14:textId="77777777" w:rsidR="00DC5E2C" w:rsidRPr="00EC77AC" w:rsidRDefault="00DC5E2C" w:rsidP="00DC5E2C">
            <w:pPr>
              <w:rPr>
                <w:b/>
              </w:rPr>
            </w:pPr>
            <w:r w:rsidRPr="00EC77AC">
              <w:rPr>
                <w:b/>
              </w:rPr>
              <w:t>10%</w:t>
            </w:r>
          </w:p>
        </w:tc>
        <w:tc>
          <w:tcPr>
            <w:tcW w:w="3147" w:type="dxa"/>
            <w:tcBorders>
              <w:top w:val="single" w:sz="4" w:space="0" w:color="auto"/>
              <w:left w:val="nil"/>
              <w:bottom w:val="single" w:sz="4" w:space="0" w:color="auto"/>
              <w:right w:val="single" w:sz="4" w:space="0" w:color="auto"/>
            </w:tcBorders>
            <w:shd w:val="clear" w:color="auto" w:fill="auto"/>
            <w:vAlign w:val="bottom"/>
          </w:tcPr>
          <w:p w14:paraId="1F891183" w14:textId="528091F9" w:rsidR="00DC5E2C" w:rsidRPr="009514D8" w:rsidRDefault="00DC5E2C" w:rsidP="00DC5E2C">
            <w:pPr>
              <w:jc w:val="center"/>
              <w:rPr>
                <w:rFonts w:cstheme="minorHAnsi"/>
              </w:rPr>
            </w:pPr>
            <w:r>
              <w:rPr>
                <w:rFonts w:ascii="Calibri" w:hAnsi="Calibri"/>
                <w:color w:val="000000"/>
              </w:rPr>
              <w:t>3.70%</w:t>
            </w:r>
          </w:p>
        </w:tc>
        <w:tc>
          <w:tcPr>
            <w:tcW w:w="3147" w:type="dxa"/>
            <w:tcBorders>
              <w:top w:val="single" w:sz="4" w:space="0" w:color="auto"/>
              <w:left w:val="nil"/>
              <w:bottom w:val="single" w:sz="4" w:space="0" w:color="auto"/>
              <w:right w:val="single" w:sz="4" w:space="0" w:color="auto"/>
            </w:tcBorders>
          </w:tcPr>
          <w:p w14:paraId="68717F11" w14:textId="44104BA7" w:rsidR="00DC5E2C" w:rsidRPr="009514D8" w:rsidRDefault="00DC5E2C" w:rsidP="00DC5E2C">
            <w:pPr>
              <w:jc w:val="center"/>
              <w:rPr>
                <w:rFonts w:cstheme="minorHAnsi"/>
              </w:rPr>
            </w:pPr>
            <w:r>
              <w:rPr>
                <w:rFonts w:cstheme="minorHAnsi"/>
              </w:rPr>
              <w:t>17.74%</w:t>
            </w:r>
          </w:p>
        </w:tc>
      </w:tr>
      <w:tr w:rsidR="00DC5E2C" w:rsidRPr="009514D8" w14:paraId="5289667C" w14:textId="77777777" w:rsidTr="009C1662">
        <w:tc>
          <w:tcPr>
            <w:tcW w:w="2158" w:type="dxa"/>
          </w:tcPr>
          <w:p w14:paraId="48A8AD98" w14:textId="77777777" w:rsidR="00DC5E2C" w:rsidRPr="00EC77AC" w:rsidRDefault="00DC5E2C" w:rsidP="00DC5E2C">
            <w:pPr>
              <w:rPr>
                <w:b/>
              </w:rPr>
            </w:pPr>
            <w:r w:rsidRPr="00EC77AC">
              <w:rPr>
                <w:b/>
              </w:rPr>
              <w:t>5%</w:t>
            </w:r>
          </w:p>
        </w:tc>
        <w:tc>
          <w:tcPr>
            <w:tcW w:w="3147" w:type="dxa"/>
            <w:tcBorders>
              <w:top w:val="single" w:sz="4" w:space="0" w:color="auto"/>
              <w:left w:val="nil"/>
              <w:bottom w:val="single" w:sz="4" w:space="0" w:color="auto"/>
              <w:right w:val="single" w:sz="4" w:space="0" w:color="auto"/>
            </w:tcBorders>
            <w:shd w:val="clear" w:color="auto" w:fill="auto"/>
            <w:vAlign w:val="bottom"/>
          </w:tcPr>
          <w:p w14:paraId="0A1885D3" w14:textId="296CD8DF" w:rsidR="00DC5E2C" w:rsidRPr="009514D8" w:rsidRDefault="00DC5E2C" w:rsidP="00DC5E2C">
            <w:pPr>
              <w:jc w:val="center"/>
              <w:rPr>
                <w:rFonts w:cstheme="minorHAnsi"/>
              </w:rPr>
            </w:pPr>
            <w:r>
              <w:rPr>
                <w:rFonts w:ascii="Calibri" w:hAnsi="Calibri"/>
                <w:color w:val="000000"/>
              </w:rPr>
              <w:t>2.06%</w:t>
            </w:r>
          </w:p>
        </w:tc>
        <w:tc>
          <w:tcPr>
            <w:tcW w:w="3147" w:type="dxa"/>
            <w:tcBorders>
              <w:top w:val="single" w:sz="4" w:space="0" w:color="auto"/>
              <w:left w:val="nil"/>
              <w:bottom w:val="single" w:sz="4" w:space="0" w:color="auto"/>
              <w:right w:val="single" w:sz="4" w:space="0" w:color="auto"/>
            </w:tcBorders>
          </w:tcPr>
          <w:p w14:paraId="69D2AED1" w14:textId="40330E59" w:rsidR="00DC5E2C" w:rsidRPr="009514D8" w:rsidRDefault="00DC5E2C" w:rsidP="00DC5E2C">
            <w:pPr>
              <w:jc w:val="center"/>
              <w:rPr>
                <w:rFonts w:cstheme="minorHAnsi"/>
              </w:rPr>
            </w:pPr>
            <w:r>
              <w:rPr>
                <w:rFonts w:cstheme="minorHAnsi"/>
              </w:rPr>
              <w:t>11.49%</w:t>
            </w:r>
          </w:p>
        </w:tc>
      </w:tr>
      <w:tr w:rsidR="00DC5E2C" w:rsidRPr="009514D8" w14:paraId="64E7FC08" w14:textId="77777777" w:rsidTr="009C1662">
        <w:tc>
          <w:tcPr>
            <w:tcW w:w="2158" w:type="dxa"/>
          </w:tcPr>
          <w:p w14:paraId="7C2D85B9" w14:textId="77777777" w:rsidR="00DC5E2C" w:rsidRPr="00EC77AC" w:rsidRDefault="00DC5E2C" w:rsidP="00DC5E2C">
            <w:pPr>
              <w:rPr>
                <w:b/>
              </w:rPr>
            </w:pPr>
            <w:r>
              <w:rPr>
                <w:b/>
              </w:rPr>
              <w:t>1%</w:t>
            </w:r>
          </w:p>
        </w:tc>
        <w:tc>
          <w:tcPr>
            <w:tcW w:w="3147" w:type="dxa"/>
            <w:tcBorders>
              <w:top w:val="single" w:sz="4" w:space="0" w:color="auto"/>
              <w:left w:val="nil"/>
              <w:bottom w:val="single" w:sz="4" w:space="0" w:color="auto"/>
              <w:right w:val="single" w:sz="4" w:space="0" w:color="auto"/>
            </w:tcBorders>
            <w:shd w:val="clear" w:color="auto" w:fill="auto"/>
            <w:vAlign w:val="bottom"/>
          </w:tcPr>
          <w:p w14:paraId="797012E0" w14:textId="4FC8AD91" w:rsidR="00DC5E2C" w:rsidRPr="009514D8" w:rsidRDefault="00DC5E2C" w:rsidP="00DC5E2C">
            <w:pPr>
              <w:jc w:val="center"/>
              <w:rPr>
                <w:rFonts w:cstheme="minorHAnsi"/>
              </w:rPr>
            </w:pPr>
            <w:r>
              <w:rPr>
                <w:rFonts w:ascii="Calibri" w:hAnsi="Calibri"/>
                <w:color w:val="000000"/>
              </w:rPr>
              <w:t>0.72%</w:t>
            </w:r>
          </w:p>
        </w:tc>
        <w:tc>
          <w:tcPr>
            <w:tcW w:w="3147" w:type="dxa"/>
            <w:tcBorders>
              <w:top w:val="single" w:sz="4" w:space="0" w:color="auto"/>
              <w:left w:val="nil"/>
              <w:bottom w:val="single" w:sz="4" w:space="0" w:color="auto"/>
              <w:right w:val="single" w:sz="4" w:space="0" w:color="auto"/>
            </w:tcBorders>
          </w:tcPr>
          <w:p w14:paraId="5B910134" w14:textId="01BA4D85" w:rsidR="00DC5E2C" w:rsidRPr="009514D8" w:rsidRDefault="00DC5E2C" w:rsidP="00DC5E2C">
            <w:pPr>
              <w:jc w:val="center"/>
              <w:rPr>
                <w:rFonts w:cstheme="minorHAnsi"/>
              </w:rPr>
            </w:pPr>
            <w:r>
              <w:rPr>
                <w:rFonts w:cstheme="minorHAnsi"/>
              </w:rPr>
              <w:t>5.65%</w:t>
            </w:r>
          </w:p>
        </w:tc>
      </w:tr>
      <w:tr w:rsidR="00DC5E2C" w:rsidRPr="009514D8" w14:paraId="7F900552" w14:textId="77777777" w:rsidTr="009C1662">
        <w:tc>
          <w:tcPr>
            <w:tcW w:w="2158" w:type="dxa"/>
          </w:tcPr>
          <w:p w14:paraId="32BCBE6F" w14:textId="77777777" w:rsidR="00DC5E2C" w:rsidRPr="00EC77AC" w:rsidRDefault="00DC5E2C" w:rsidP="00DC5E2C">
            <w:pPr>
              <w:rPr>
                <w:b/>
              </w:rPr>
            </w:pPr>
            <w:r>
              <w:rPr>
                <w:b/>
              </w:rPr>
              <w:t>0% Min</w:t>
            </w:r>
          </w:p>
        </w:tc>
        <w:tc>
          <w:tcPr>
            <w:tcW w:w="3147" w:type="dxa"/>
            <w:tcBorders>
              <w:top w:val="single" w:sz="4" w:space="0" w:color="auto"/>
              <w:left w:val="nil"/>
              <w:bottom w:val="single" w:sz="4" w:space="0" w:color="auto"/>
              <w:right w:val="single" w:sz="4" w:space="0" w:color="auto"/>
            </w:tcBorders>
            <w:shd w:val="clear" w:color="auto" w:fill="auto"/>
            <w:vAlign w:val="bottom"/>
          </w:tcPr>
          <w:p w14:paraId="0DE28803" w14:textId="60B7633F" w:rsidR="00DC5E2C" w:rsidRPr="009514D8" w:rsidRDefault="00DC5E2C" w:rsidP="00DC5E2C">
            <w:pPr>
              <w:jc w:val="center"/>
              <w:rPr>
                <w:rFonts w:cstheme="minorHAnsi"/>
              </w:rPr>
            </w:pPr>
            <w:r>
              <w:rPr>
                <w:rFonts w:ascii="Calibri" w:hAnsi="Calibri"/>
                <w:color w:val="000000"/>
              </w:rPr>
              <w:t>0.24%</w:t>
            </w:r>
          </w:p>
        </w:tc>
        <w:tc>
          <w:tcPr>
            <w:tcW w:w="3147" w:type="dxa"/>
            <w:tcBorders>
              <w:top w:val="single" w:sz="4" w:space="0" w:color="auto"/>
              <w:left w:val="nil"/>
              <w:bottom w:val="single" w:sz="4" w:space="0" w:color="auto"/>
              <w:right w:val="single" w:sz="4" w:space="0" w:color="auto"/>
            </w:tcBorders>
          </w:tcPr>
          <w:p w14:paraId="46888CD8" w14:textId="633C8AFB" w:rsidR="00DC5E2C" w:rsidRPr="009514D8" w:rsidRDefault="00DC5E2C" w:rsidP="00DC5E2C">
            <w:pPr>
              <w:jc w:val="center"/>
              <w:rPr>
                <w:rFonts w:cstheme="minorHAnsi"/>
              </w:rPr>
            </w:pPr>
            <w:r>
              <w:rPr>
                <w:rFonts w:cstheme="minorHAnsi"/>
              </w:rPr>
              <w:t>5.00%</w:t>
            </w:r>
          </w:p>
        </w:tc>
      </w:tr>
    </w:tbl>
    <w:p w14:paraId="1BDF708A" w14:textId="5E57C612" w:rsidR="00944FE5" w:rsidRPr="00966B01" w:rsidRDefault="00944FE5" w:rsidP="007F03AE">
      <w:pPr>
        <w:pStyle w:val="Caption"/>
        <w:spacing w:before="100" w:beforeAutospacing="1" w:after="100" w:afterAutospacing="1"/>
        <w:jc w:val="left"/>
        <w:rPr>
          <w:szCs w:val="22"/>
        </w:rPr>
      </w:pPr>
      <w:r w:rsidRPr="00966B01">
        <w:rPr>
          <w:szCs w:val="22"/>
        </w:rPr>
        <w:t>Table</w:t>
      </w:r>
      <w:r w:rsidRPr="00966B01">
        <w:rPr>
          <w:noProof/>
          <w:szCs w:val="22"/>
        </w:rPr>
        <w:t xml:space="preserve"> </w:t>
      </w:r>
      <w:r>
        <w:rPr>
          <w:noProof/>
          <w:szCs w:val="22"/>
        </w:rPr>
        <w:t>1</w:t>
      </w:r>
      <w:r w:rsidR="00953B46">
        <w:rPr>
          <w:noProof/>
          <w:szCs w:val="22"/>
        </w:rPr>
        <w:t>4</w:t>
      </w:r>
      <w:r w:rsidRPr="00966B01">
        <w:rPr>
          <w:szCs w:val="22"/>
        </w:rPr>
        <w:t xml:space="preserve">. Mean and Distribution of </w:t>
      </w:r>
      <w:r w:rsidR="00675726">
        <w:rPr>
          <w:szCs w:val="22"/>
        </w:rPr>
        <w:t xml:space="preserve">Hospital </w:t>
      </w:r>
      <w:r w:rsidR="00E60B60">
        <w:rPr>
          <w:szCs w:val="22"/>
        </w:rPr>
        <w:t>RSIRs</w:t>
      </w:r>
      <w:r w:rsidRPr="00966B01">
        <w:rPr>
          <w:szCs w:val="22"/>
        </w:rPr>
        <w:t xml:space="preserve"> for </w:t>
      </w:r>
      <w:r>
        <w:rPr>
          <w:szCs w:val="22"/>
        </w:rPr>
        <w:t>Risk-Adjusted Model of SCB Improvement With and Without Stabilized Inverse Probability Weighting for Potential Non-Response Bias</w:t>
      </w:r>
      <w:r w:rsidRPr="00966B01">
        <w:rPr>
          <w:szCs w:val="22"/>
        </w:rPr>
        <w:t xml:space="preserve"> (</w:t>
      </w:r>
      <w:r w:rsidR="00B164B8">
        <w:rPr>
          <w:szCs w:val="22"/>
        </w:rPr>
        <w:t xml:space="preserve">Combined Dataset, </w:t>
      </w:r>
      <w:r w:rsidRPr="00966B01">
        <w:rPr>
          <w:szCs w:val="22"/>
        </w:rPr>
        <w:t xml:space="preserve">Hospitals with </w:t>
      </w:r>
      <w:r w:rsidRPr="00966B01">
        <w:rPr>
          <w:szCs w:val="22"/>
          <w:u w:val="single"/>
        </w:rPr>
        <w:t>&gt;</w:t>
      </w:r>
      <w:r w:rsidRPr="00953B46">
        <w:rPr>
          <w:szCs w:val="22"/>
        </w:rPr>
        <w:t>2</w:t>
      </w:r>
      <w:r w:rsidRPr="00966B01">
        <w:rPr>
          <w:szCs w:val="22"/>
        </w:rPr>
        <w:t>5 THA/TKA</w:t>
      </w:r>
      <w:r w:rsidR="00953B46">
        <w:rPr>
          <w:szCs w:val="22"/>
        </w:rPr>
        <w:t xml:space="preserve"> Patients with PRO Data</w:t>
      </w:r>
      <w:r w:rsidRPr="00966B01">
        <w:rPr>
          <w:szCs w:val="22"/>
        </w:rPr>
        <w:t>)</w:t>
      </w:r>
    </w:p>
    <w:tbl>
      <w:tblPr>
        <w:tblStyle w:val="TableGrid"/>
        <w:tblW w:w="0" w:type="auto"/>
        <w:tblLook w:val="04A0" w:firstRow="1" w:lastRow="0" w:firstColumn="1" w:lastColumn="0" w:noHBand="0" w:noVBand="1"/>
      </w:tblPr>
      <w:tblGrid>
        <w:gridCol w:w="2158"/>
        <w:gridCol w:w="3147"/>
        <w:gridCol w:w="3147"/>
      </w:tblGrid>
      <w:tr w:rsidR="00944FE5" w:rsidRPr="00EC77AC" w14:paraId="5454BA31" w14:textId="77777777" w:rsidTr="009C1662">
        <w:tc>
          <w:tcPr>
            <w:tcW w:w="2158" w:type="dxa"/>
            <w:shd w:val="clear" w:color="auto" w:fill="DDEBF7"/>
          </w:tcPr>
          <w:p w14:paraId="65ED25C3" w14:textId="2B451975" w:rsidR="00944FE5" w:rsidRPr="00EC77AC" w:rsidRDefault="00E71C5C" w:rsidP="009C1662">
            <w:pPr>
              <w:rPr>
                <w:b/>
              </w:rPr>
            </w:pPr>
            <w:r>
              <w:rPr>
                <w:b/>
              </w:rPr>
              <w:t>Summary Statistics</w:t>
            </w:r>
          </w:p>
        </w:tc>
        <w:tc>
          <w:tcPr>
            <w:tcW w:w="3147" w:type="dxa"/>
            <w:shd w:val="clear" w:color="auto" w:fill="DDEBF7"/>
          </w:tcPr>
          <w:p w14:paraId="55CE9C8E" w14:textId="4E95A3E8" w:rsidR="00944FE5" w:rsidRPr="00DA293C" w:rsidRDefault="00944FE5" w:rsidP="00944FE5">
            <w:pPr>
              <w:jc w:val="center"/>
              <w:rPr>
                <w:b/>
              </w:rPr>
            </w:pPr>
            <w:r>
              <w:rPr>
                <w:b/>
              </w:rPr>
              <w:t>Risk-Standardized Improvement Rates (No Weighting)</w:t>
            </w:r>
          </w:p>
        </w:tc>
        <w:tc>
          <w:tcPr>
            <w:tcW w:w="3147" w:type="dxa"/>
            <w:shd w:val="clear" w:color="auto" w:fill="DDEBF7"/>
          </w:tcPr>
          <w:p w14:paraId="7258D0F2" w14:textId="37C3AF30" w:rsidR="00944FE5" w:rsidRDefault="00944FE5" w:rsidP="00944FE5">
            <w:pPr>
              <w:jc w:val="center"/>
              <w:rPr>
                <w:b/>
              </w:rPr>
            </w:pPr>
            <w:r>
              <w:rPr>
                <w:b/>
              </w:rPr>
              <w:t>Risk-Standardized Improvement Rates (Weighted for Non-Response)</w:t>
            </w:r>
          </w:p>
        </w:tc>
        <w:bookmarkStart w:id="21" w:name="_GoBack"/>
        <w:bookmarkEnd w:id="21"/>
      </w:tr>
      <w:tr w:rsidR="00944FE5" w:rsidRPr="009514D8" w14:paraId="0B96C7CC" w14:textId="77777777" w:rsidTr="009C1662">
        <w:tc>
          <w:tcPr>
            <w:tcW w:w="2158" w:type="dxa"/>
          </w:tcPr>
          <w:p w14:paraId="5177C164" w14:textId="77777777" w:rsidR="00944FE5" w:rsidRPr="00EC77AC" w:rsidRDefault="00944FE5" w:rsidP="009C1662">
            <w:pPr>
              <w:rPr>
                <w:b/>
              </w:rPr>
            </w:pPr>
            <w:r w:rsidRPr="00EC77AC">
              <w:rPr>
                <w:b/>
              </w:rPr>
              <w:t>N (Hospitals)</w:t>
            </w:r>
          </w:p>
        </w:tc>
        <w:tc>
          <w:tcPr>
            <w:tcW w:w="3147" w:type="dxa"/>
          </w:tcPr>
          <w:p w14:paraId="7A430020" w14:textId="77777777" w:rsidR="00944FE5" w:rsidRPr="009514D8" w:rsidRDefault="00944FE5" w:rsidP="009C1662">
            <w:pPr>
              <w:jc w:val="center"/>
              <w:rPr>
                <w:rFonts w:cstheme="minorHAnsi"/>
              </w:rPr>
            </w:pPr>
            <w:r>
              <w:rPr>
                <w:rFonts w:cstheme="minorHAnsi"/>
              </w:rPr>
              <w:t>123</w:t>
            </w:r>
          </w:p>
        </w:tc>
        <w:tc>
          <w:tcPr>
            <w:tcW w:w="3147" w:type="dxa"/>
          </w:tcPr>
          <w:p w14:paraId="7768D3EB" w14:textId="77777777" w:rsidR="00944FE5" w:rsidRPr="009514D8" w:rsidRDefault="00944FE5" w:rsidP="009C1662">
            <w:pPr>
              <w:jc w:val="center"/>
              <w:rPr>
                <w:rFonts w:cstheme="minorHAnsi"/>
              </w:rPr>
            </w:pPr>
            <w:r>
              <w:rPr>
                <w:rFonts w:cstheme="minorHAnsi"/>
              </w:rPr>
              <w:t>123</w:t>
            </w:r>
          </w:p>
        </w:tc>
      </w:tr>
      <w:tr w:rsidR="00944FE5" w:rsidRPr="009514D8" w14:paraId="5239B9BD" w14:textId="77777777" w:rsidTr="009C1662">
        <w:tc>
          <w:tcPr>
            <w:tcW w:w="2158" w:type="dxa"/>
          </w:tcPr>
          <w:p w14:paraId="327BA677" w14:textId="77777777" w:rsidR="00944FE5" w:rsidRPr="00EC77AC" w:rsidRDefault="00944FE5" w:rsidP="009C1662">
            <w:pPr>
              <w:rPr>
                <w:b/>
              </w:rPr>
            </w:pPr>
            <w:r w:rsidRPr="00EC77AC">
              <w:rPr>
                <w:b/>
              </w:rPr>
              <w:t>Mean (SD)</w:t>
            </w:r>
          </w:p>
        </w:tc>
        <w:tc>
          <w:tcPr>
            <w:tcW w:w="3147" w:type="dxa"/>
          </w:tcPr>
          <w:p w14:paraId="4CADF667" w14:textId="11F29047" w:rsidR="00944FE5" w:rsidRPr="009514D8" w:rsidRDefault="00944FE5" w:rsidP="009C1662">
            <w:pPr>
              <w:jc w:val="center"/>
              <w:rPr>
                <w:rFonts w:cstheme="minorHAnsi"/>
                <w:color w:val="000000"/>
              </w:rPr>
            </w:pPr>
            <w:r>
              <w:rPr>
                <w:rFonts w:cstheme="minorHAnsi"/>
                <w:color w:val="000000"/>
              </w:rPr>
              <w:t>60.21% (19.57)</w:t>
            </w:r>
          </w:p>
        </w:tc>
        <w:tc>
          <w:tcPr>
            <w:tcW w:w="3147" w:type="dxa"/>
          </w:tcPr>
          <w:p w14:paraId="48D298B8" w14:textId="77777777" w:rsidR="00944FE5" w:rsidRPr="009514D8" w:rsidRDefault="00944FE5" w:rsidP="009C1662">
            <w:pPr>
              <w:jc w:val="center"/>
              <w:rPr>
                <w:rFonts w:cstheme="minorHAnsi"/>
                <w:color w:val="000000"/>
              </w:rPr>
            </w:pPr>
            <w:r>
              <w:rPr>
                <w:rFonts w:cstheme="minorHAnsi"/>
                <w:color w:val="000000"/>
              </w:rPr>
              <w:t>60.16% (19.58)</w:t>
            </w:r>
          </w:p>
        </w:tc>
      </w:tr>
      <w:tr w:rsidR="00944FE5" w:rsidRPr="009514D8" w14:paraId="0E929143" w14:textId="77777777" w:rsidTr="009C1662">
        <w:tc>
          <w:tcPr>
            <w:tcW w:w="2158" w:type="dxa"/>
          </w:tcPr>
          <w:p w14:paraId="0B975AE9" w14:textId="77777777" w:rsidR="00944FE5" w:rsidRPr="00EC77AC" w:rsidRDefault="00944FE5" w:rsidP="009C1662">
            <w:pPr>
              <w:rPr>
                <w:b/>
              </w:rPr>
            </w:pPr>
            <w:r w:rsidRPr="00EC77AC">
              <w:rPr>
                <w:b/>
              </w:rPr>
              <w:t>Percentile</w:t>
            </w:r>
          </w:p>
        </w:tc>
        <w:tc>
          <w:tcPr>
            <w:tcW w:w="3147" w:type="dxa"/>
            <w:tcBorders>
              <w:bottom w:val="single" w:sz="4" w:space="0" w:color="auto"/>
            </w:tcBorders>
          </w:tcPr>
          <w:p w14:paraId="4887488D" w14:textId="77777777" w:rsidR="00944FE5" w:rsidRPr="009514D8" w:rsidRDefault="00944FE5" w:rsidP="009C1662">
            <w:pPr>
              <w:jc w:val="center"/>
              <w:rPr>
                <w:rFonts w:cstheme="minorHAnsi"/>
              </w:rPr>
            </w:pPr>
          </w:p>
        </w:tc>
        <w:tc>
          <w:tcPr>
            <w:tcW w:w="3147" w:type="dxa"/>
            <w:tcBorders>
              <w:bottom w:val="single" w:sz="4" w:space="0" w:color="auto"/>
            </w:tcBorders>
          </w:tcPr>
          <w:p w14:paraId="08F73400" w14:textId="77777777" w:rsidR="00944FE5" w:rsidRPr="009514D8" w:rsidRDefault="00944FE5" w:rsidP="009C1662">
            <w:pPr>
              <w:jc w:val="center"/>
              <w:rPr>
                <w:rFonts w:cstheme="minorHAnsi"/>
              </w:rPr>
            </w:pPr>
          </w:p>
        </w:tc>
      </w:tr>
      <w:tr w:rsidR="00944FE5" w:rsidRPr="009514D8" w14:paraId="770E3BAB" w14:textId="77777777" w:rsidTr="00944FE5">
        <w:tc>
          <w:tcPr>
            <w:tcW w:w="2158" w:type="dxa"/>
          </w:tcPr>
          <w:p w14:paraId="27DB5FBA" w14:textId="77777777" w:rsidR="00944FE5" w:rsidRDefault="00944FE5" w:rsidP="00944FE5">
            <w:pPr>
              <w:rPr>
                <w:b/>
              </w:rPr>
            </w:pPr>
            <w:r>
              <w:rPr>
                <w:b/>
              </w:rPr>
              <w:t>100% Max</w:t>
            </w:r>
          </w:p>
        </w:tc>
        <w:tc>
          <w:tcPr>
            <w:tcW w:w="3147" w:type="dxa"/>
            <w:tcBorders>
              <w:top w:val="single" w:sz="4" w:space="0" w:color="auto"/>
              <w:left w:val="nil"/>
              <w:bottom w:val="single" w:sz="4" w:space="0" w:color="auto"/>
              <w:right w:val="single" w:sz="4" w:space="0" w:color="auto"/>
            </w:tcBorders>
            <w:shd w:val="clear" w:color="auto" w:fill="auto"/>
            <w:vAlign w:val="bottom"/>
          </w:tcPr>
          <w:p w14:paraId="25F438BD" w14:textId="5D06D4F4" w:rsidR="00944FE5" w:rsidRPr="009514D8" w:rsidRDefault="00944FE5" w:rsidP="00944FE5">
            <w:pPr>
              <w:jc w:val="center"/>
              <w:rPr>
                <w:rFonts w:cstheme="minorHAnsi"/>
              </w:rPr>
            </w:pPr>
            <w:r>
              <w:rPr>
                <w:rFonts w:ascii="Calibri" w:hAnsi="Calibri"/>
                <w:color w:val="000000"/>
              </w:rPr>
              <w:t>86.66%</w:t>
            </w:r>
          </w:p>
        </w:tc>
        <w:tc>
          <w:tcPr>
            <w:tcW w:w="3147" w:type="dxa"/>
            <w:tcBorders>
              <w:top w:val="single" w:sz="4" w:space="0" w:color="auto"/>
              <w:left w:val="nil"/>
              <w:bottom w:val="single" w:sz="4" w:space="0" w:color="auto"/>
              <w:right w:val="single" w:sz="4" w:space="0" w:color="auto"/>
            </w:tcBorders>
          </w:tcPr>
          <w:p w14:paraId="25318028" w14:textId="77777777" w:rsidR="00944FE5" w:rsidRPr="009514D8" w:rsidRDefault="00944FE5" w:rsidP="00944FE5">
            <w:pPr>
              <w:jc w:val="center"/>
              <w:rPr>
                <w:rFonts w:cstheme="minorHAnsi"/>
              </w:rPr>
            </w:pPr>
            <w:r>
              <w:rPr>
                <w:rFonts w:ascii="Calibri" w:hAnsi="Calibri"/>
                <w:color w:val="000000"/>
              </w:rPr>
              <w:t>86.84%</w:t>
            </w:r>
          </w:p>
        </w:tc>
      </w:tr>
      <w:tr w:rsidR="00944FE5" w:rsidRPr="009514D8" w14:paraId="3F9FC0B1" w14:textId="77777777" w:rsidTr="00944FE5">
        <w:tc>
          <w:tcPr>
            <w:tcW w:w="2158" w:type="dxa"/>
          </w:tcPr>
          <w:p w14:paraId="781417B6" w14:textId="77777777" w:rsidR="00944FE5" w:rsidRPr="00EC77AC" w:rsidRDefault="00944FE5" w:rsidP="00944FE5">
            <w:pPr>
              <w:rPr>
                <w:b/>
              </w:rPr>
            </w:pPr>
            <w:r>
              <w:rPr>
                <w:b/>
              </w:rPr>
              <w:t>99%</w:t>
            </w:r>
          </w:p>
        </w:tc>
        <w:tc>
          <w:tcPr>
            <w:tcW w:w="3147" w:type="dxa"/>
            <w:tcBorders>
              <w:top w:val="single" w:sz="4" w:space="0" w:color="auto"/>
              <w:left w:val="nil"/>
              <w:bottom w:val="single" w:sz="4" w:space="0" w:color="auto"/>
              <w:right w:val="single" w:sz="4" w:space="0" w:color="auto"/>
            </w:tcBorders>
            <w:shd w:val="clear" w:color="auto" w:fill="auto"/>
            <w:vAlign w:val="bottom"/>
          </w:tcPr>
          <w:p w14:paraId="35DEA66A" w14:textId="156C96CE" w:rsidR="00944FE5" w:rsidRPr="009514D8" w:rsidRDefault="00944FE5" w:rsidP="00944FE5">
            <w:pPr>
              <w:jc w:val="center"/>
              <w:rPr>
                <w:rFonts w:cstheme="minorHAnsi"/>
              </w:rPr>
            </w:pPr>
            <w:r>
              <w:rPr>
                <w:rFonts w:ascii="Calibri" w:hAnsi="Calibri"/>
                <w:color w:val="000000"/>
              </w:rPr>
              <w:t>85.34%</w:t>
            </w:r>
          </w:p>
        </w:tc>
        <w:tc>
          <w:tcPr>
            <w:tcW w:w="3147" w:type="dxa"/>
            <w:tcBorders>
              <w:top w:val="single" w:sz="4" w:space="0" w:color="auto"/>
              <w:left w:val="nil"/>
              <w:bottom w:val="single" w:sz="4" w:space="0" w:color="auto"/>
              <w:right w:val="single" w:sz="4" w:space="0" w:color="auto"/>
            </w:tcBorders>
          </w:tcPr>
          <w:p w14:paraId="39A30FBE" w14:textId="77777777" w:rsidR="00944FE5" w:rsidRPr="009514D8" w:rsidRDefault="00944FE5" w:rsidP="00944FE5">
            <w:pPr>
              <w:jc w:val="center"/>
              <w:rPr>
                <w:rFonts w:cstheme="minorHAnsi"/>
              </w:rPr>
            </w:pPr>
            <w:r>
              <w:rPr>
                <w:rFonts w:ascii="Calibri" w:hAnsi="Calibri"/>
                <w:color w:val="000000"/>
              </w:rPr>
              <w:t>84.73%</w:t>
            </w:r>
          </w:p>
        </w:tc>
      </w:tr>
      <w:tr w:rsidR="00944FE5" w:rsidRPr="009514D8" w14:paraId="7326B6BC" w14:textId="77777777" w:rsidTr="00944FE5">
        <w:tc>
          <w:tcPr>
            <w:tcW w:w="2158" w:type="dxa"/>
          </w:tcPr>
          <w:p w14:paraId="6EB029E1" w14:textId="77777777" w:rsidR="00944FE5" w:rsidRPr="00EC77AC" w:rsidRDefault="00944FE5" w:rsidP="00944FE5">
            <w:pPr>
              <w:rPr>
                <w:b/>
              </w:rPr>
            </w:pPr>
            <w:r w:rsidRPr="00EC77AC">
              <w:rPr>
                <w:b/>
              </w:rPr>
              <w:t>95%</w:t>
            </w:r>
          </w:p>
        </w:tc>
        <w:tc>
          <w:tcPr>
            <w:tcW w:w="3147" w:type="dxa"/>
            <w:tcBorders>
              <w:top w:val="single" w:sz="4" w:space="0" w:color="auto"/>
              <w:left w:val="nil"/>
              <w:bottom w:val="single" w:sz="4" w:space="0" w:color="auto"/>
              <w:right w:val="single" w:sz="4" w:space="0" w:color="auto"/>
            </w:tcBorders>
            <w:shd w:val="clear" w:color="auto" w:fill="auto"/>
            <w:vAlign w:val="bottom"/>
          </w:tcPr>
          <w:p w14:paraId="774385EF" w14:textId="5750ED7A" w:rsidR="00944FE5" w:rsidRPr="009514D8" w:rsidRDefault="00944FE5" w:rsidP="00944FE5">
            <w:pPr>
              <w:jc w:val="center"/>
              <w:rPr>
                <w:rFonts w:cstheme="minorHAnsi"/>
              </w:rPr>
            </w:pPr>
            <w:r>
              <w:rPr>
                <w:rFonts w:ascii="Calibri" w:hAnsi="Calibri"/>
                <w:color w:val="000000"/>
              </w:rPr>
              <w:t>81.69%</w:t>
            </w:r>
          </w:p>
        </w:tc>
        <w:tc>
          <w:tcPr>
            <w:tcW w:w="3147" w:type="dxa"/>
            <w:tcBorders>
              <w:top w:val="single" w:sz="4" w:space="0" w:color="auto"/>
              <w:left w:val="nil"/>
              <w:bottom w:val="single" w:sz="4" w:space="0" w:color="auto"/>
              <w:right w:val="single" w:sz="4" w:space="0" w:color="auto"/>
            </w:tcBorders>
          </w:tcPr>
          <w:p w14:paraId="747622EC" w14:textId="77777777" w:rsidR="00944FE5" w:rsidRPr="009514D8" w:rsidRDefault="00944FE5" w:rsidP="00944FE5">
            <w:pPr>
              <w:jc w:val="center"/>
              <w:rPr>
                <w:rFonts w:cstheme="minorHAnsi"/>
              </w:rPr>
            </w:pPr>
            <w:r>
              <w:rPr>
                <w:rFonts w:ascii="Calibri" w:hAnsi="Calibri"/>
                <w:color w:val="000000"/>
              </w:rPr>
              <w:t>81.92%</w:t>
            </w:r>
          </w:p>
        </w:tc>
      </w:tr>
      <w:tr w:rsidR="00944FE5" w:rsidRPr="009514D8" w14:paraId="34774DD3" w14:textId="77777777" w:rsidTr="00944FE5">
        <w:tc>
          <w:tcPr>
            <w:tcW w:w="2158" w:type="dxa"/>
          </w:tcPr>
          <w:p w14:paraId="2F3D4601" w14:textId="77777777" w:rsidR="00944FE5" w:rsidRPr="00EC77AC" w:rsidRDefault="00944FE5" w:rsidP="00944FE5">
            <w:pPr>
              <w:rPr>
                <w:b/>
              </w:rPr>
            </w:pPr>
            <w:r w:rsidRPr="00EC77AC">
              <w:rPr>
                <w:b/>
              </w:rPr>
              <w:t>90%</w:t>
            </w:r>
          </w:p>
        </w:tc>
        <w:tc>
          <w:tcPr>
            <w:tcW w:w="3147" w:type="dxa"/>
            <w:tcBorders>
              <w:top w:val="single" w:sz="4" w:space="0" w:color="auto"/>
              <w:left w:val="nil"/>
              <w:bottom w:val="single" w:sz="4" w:space="0" w:color="auto"/>
              <w:right w:val="single" w:sz="4" w:space="0" w:color="auto"/>
            </w:tcBorders>
            <w:shd w:val="clear" w:color="auto" w:fill="auto"/>
            <w:vAlign w:val="bottom"/>
          </w:tcPr>
          <w:p w14:paraId="5CB36A01" w14:textId="364A6D0D" w:rsidR="00944FE5" w:rsidRPr="009514D8" w:rsidRDefault="00944FE5" w:rsidP="00944FE5">
            <w:pPr>
              <w:jc w:val="center"/>
              <w:rPr>
                <w:rFonts w:cstheme="minorHAnsi"/>
              </w:rPr>
            </w:pPr>
            <w:r>
              <w:rPr>
                <w:rFonts w:ascii="Calibri" w:hAnsi="Calibri"/>
                <w:color w:val="000000"/>
              </w:rPr>
              <w:t>78.98%</w:t>
            </w:r>
          </w:p>
        </w:tc>
        <w:tc>
          <w:tcPr>
            <w:tcW w:w="3147" w:type="dxa"/>
            <w:tcBorders>
              <w:top w:val="single" w:sz="4" w:space="0" w:color="auto"/>
              <w:left w:val="nil"/>
              <w:bottom w:val="single" w:sz="4" w:space="0" w:color="auto"/>
              <w:right w:val="single" w:sz="4" w:space="0" w:color="auto"/>
            </w:tcBorders>
          </w:tcPr>
          <w:p w14:paraId="69F699CD" w14:textId="77777777" w:rsidR="00944FE5" w:rsidRPr="009514D8" w:rsidRDefault="00944FE5" w:rsidP="00944FE5">
            <w:pPr>
              <w:jc w:val="center"/>
              <w:rPr>
                <w:rFonts w:cstheme="minorHAnsi"/>
              </w:rPr>
            </w:pPr>
            <w:r>
              <w:rPr>
                <w:rFonts w:ascii="Calibri" w:hAnsi="Calibri"/>
                <w:color w:val="000000"/>
              </w:rPr>
              <w:t>78.85%</w:t>
            </w:r>
          </w:p>
        </w:tc>
      </w:tr>
      <w:tr w:rsidR="00944FE5" w:rsidRPr="009514D8" w14:paraId="475D02AD" w14:textId="77777777" w:rsidTr="00944FE5">
        <w:tc>
          <w:tcPr>
            <w:tcW w:w="2158" w:type="dxa"/>
          </w:tcPr>
          <w:p w14:paraId="5FF17742" w14:textId="77777777" w:rsidR="00944FE5" w:rsidRPr="00EC77AC" w:rsidRDefault="00944FE5" w:rsidP="00944FE5">
            <w:pPr>
              <w:rPr>
                <w:b/>
              </w:rPr>
            </w:pPr>
            <w:r w:rsidRPr="00EC77AC">
              <w:rPr>
                <w:b/>
              </w:rPr>
              <w:t>75% (Q3)</w:t>
            </w:r>
          </w:p>
        </w:tc>
        <w:tc>
          <w:tcPr>
            <w:tcW w:w="3147" w:type="dxa"/>
            <w:tcBorders>
              <w:top w:val="single" w:sz="4" w:space="0" w:color="auto"/>
              <w:left w:val="nil"/>
              <w:bottom w:val="single" w:sz="4" w:space="0" w:color="auto"/>
              <w:right w:val="single" w:sz="4" w:space="0" w:color="auto"/>
            </w:tcBorders>
            <w:shd w:val="clear" w:color="auto" w:fill="auto"/>
            <w:vAlign w:val="bottom"/>
          </w:tcPr>
          <w:p w14:paraId="4D79167D" w14:textId="06E7002C" w:rsidR="00944FE5" w:rsidRPr="009514D8" w:rsidRDefault="00944FE5" w:rsidP="00944FE5">
            <w:pPr>
              <w:jc w:val="center"/>
              <w:rPr>
                <w:rFonts w:cstheme="minorHAnsi"/>
              </w:rPr>
            </w:pPr>
            <w:r>
              <w:rPr>
                <w:rFonts w:ascii="Calibri" w:hAnsi="Calibri"/>
                <w:color w:val="000000"/>
              </w:rPr>
              <w:t>72.77%</w:t>
            </w:r>
          </w:p>
        </w:tc>
        <w:tc>
          <w:tcPr>
            <w:tcW w:w="3147" w:type="dxa"/>
            <w:tcBorders>
              <w:top w:val="single" w:sz="4" w:space="0" w:color="auto"/>
              <w:left w:val="nil"/>
              <w:bottom w:val="single" w:sz="4" w:space="0" w:color="auto"/>
              <w:right w:val="single" w:sz="4" w:space="0" w:color="auto"/>
            </w:tcBorders>
          </w:tcPr>
          <w:p w14:paraId="39608863" w14:textId="77777777" w:rsidR="00944FE5" w:rsidRPr="009514D8" w:rsidRDefault="00944FE5" w:rsidP="00944FE5">
            <w:pPr>
              <w:jc w:val="center"/>
              <w:rPr>
                <w:rFonts w:cstheme="minorHAnsi"/>
              </w:rPr>
            </w:pPr>
            <w:r>
              <w:rPr>
                <w:rFonts w:ascii="Calibri" w:hAnsi="Calibri"/>
                <w:color w:val="000000"/>
              </w:rPr>
              <w:t>72.51%</w:t>
            </w:r>
          </w:p>
        </w:tc>
      </w:tr>
      <w:tr w:rsidR="00944FE5" w:rsidRPr="009514D8" w14:paraId="3B7B61D2" w14:textId="77777777" w:rsidTr="00944FE5">
        <w:tc>
          <w:tcPr>
            <w:tcW w:w="2158" w:type="dxa"/>
          </w:tcPr>
          <w:p w14:paraId="563C6FFA" w14:textId="77777777" w:rsidR="00944FE5" w:rsidRPr="00EC77AC" w:rsidRDefault="00944FE5" w:rsidP="00944FE5">
            <w:pPr>
              <w:rPr>
                <w:b/>
              </w:rPr>
            </w:pPr>
            <w:r w:rsidRPr="00EC77AC">
              <w:rPr>
                <w:b/>
              </w:rPr>
              <w:t>50% (Median)</w:t>
            </w:r>
          </w:p>
        </w:tc>
        <w:tc>
          <w:tcPr>
            <w:tcW w:w="3147" w:type="dxa"/>
            <w:tcBorders>
              <w:top w:val="single" w:sz="4" w:space="0" w:color="auto"/>
              <w:left w:val="nil"/>
              <w:bottom w:val="single" w:sz="4" w:space="0" w:color="auto"/>
              <w:right w:val="single" w:sz="4" w:space="0" w:color="auto"/>
            </w:tcBorders>
            <w:shd w:val="clear" w:color="auto" w:fill="auto"/>
            <w:vAlign w:val="bottom"/>
          </w:tcPr>
          <w:p w14:paraId="67A0AE72" w14:textId="426B7904" w:rsidR="00944FE5" w:rsidRPr="009514D8" w:rsidRDefault="00944FE5" w:rsidP="00944FE5">
            <w:pPr>
              <w:jc w:val="center"/>
              <w:rPr>
                <w:rFonts w:cstheme="minorHAnsi"/>
              </w:rPr>
            </w:pPr>
            <w:r>
              <w:rPr>
                <w:rFonts w:ascii="Calibri" w:hAnsi="Calibri"/>
                <w:color w:val="000000"/>
              </w:rPr>
              <w:t>66.18%</w:t>
            </w:r>
          </w:p>
        </w:tc>
        <w:tc>
          <w:tcPr>
            <w:tcW w:w="3147" w:type="dxa"/>
            <w:tcBorders>
              <w:top w:val="single" w:sz="4" w:space="0" w:color="auto"/>
              <w:left w:val="nil"/>
              <w:bottom w:val="single" w:sz="4" w:space="0" w:color="auto"/>
              <w:right w:val="single" w:sz="4" w:space="0" w:color="auto"/>
            </w:tcBorders>
          </w:tcPr>
          <w:p w14:paraId="1A514972" w14:textId="77777777" w:rsidR="00944FE5" w:rsidRPr="009514D8" w:rsidRDefault="00944FE5" w:rsidP="00944FE5">
            <w:pPr>
              <w:jc w:val="center"/>
              <w:rPr>
                <w:rFonts w:cstheme="minorHAnsi"/>
              </w:rPr>
            </w:pPr>
            <w:r>
              <w:rPr>
                <w:rFonts w:ascii="Calibri" w:hAnsi="Calibri"/>
                <w:color w:val="000000"/>
              </w:rPr>
              <w:t>66.49%</w:t>
            </w:r>
          </w:p>
        </w:tc>
      </w:tr>
      <w:tr w:rsidR="00944FE5" w:rsidRPr="009514D8" w14:paraId="3DF569FE" w14:textId="77777777" w:rsidTr="00944FE5">
        <w:tc>
          <w:tcPr>
            <w:tcW w:w="2158" w:type="dxa"/>
          </w:tcPr>
          <w:p w14:paraId="0764931A" w14:textId="77777777" w:rsidR="00944FE5" w:rsidRPr="00EC77AC" w:rsidRDefault="00944FE5" w:rsidP="00944FE5">
            <w:pPr>
              <w:rPr>
                <w:b/>
              </w:rPr>
            </w:pPr>
            <w:r w:rsidRPr="00EC77AC">
              <w:rPr>
                <w:b/>
              </w:rPr>
              <w:t>25% (Q1)</w:t>
            </w:r>
          </w:p>
        </w:tc>
        <w:tc>
          <w:tcPr>
            <w:tcW w:w="3147" w:type="dxa"/>
            <w:tcBorders>
              <w:top w:val="single" w:sz="4" w:space="0" w:color="auto"/>
              <w:left w:val="nil"/>
              <w:bottom w:val="single" w:sz="4" w:space="0" w:color="auto"/>
              <w:right w:val="single" w:sz="4" w:space="0" w:color="auto"/>
            </w:tcBorders>
            <w:shd w:val="clear" w:color="auto" w:fill="auto"/>
            <w:vAlign w:val="bottom"/>
          </w:tcPr>
          <w:p w14:paraId="386C0FCE" w14:textId="34A12CF6" w:rsidR="00944FE5" w:rsidRPr="009514D8" w:rsidRDefault="00944FE5" w:rsidP="00944FE5">
            <w:pPr>
              <w:jc w:val="center"/>
              <w:rPr>
                <w:rFonts w:cstheme="minorHAnsi"/>
              </w:rPr>
            </w:pPr>
            <w:r>
              <w:rPr>
                <w:rFonts w:ascii="Calibri" w:hAnsi="Calibri"/>
                <w:color w:val="000000"/>
              </w:rPr>
              <w:t>54.63%</w:t>
            </w:r>
          </w:p>
        </w:tc>
        <w:tc>
          <w:tcPr>
            <w:tcW w:w="3147" w:type="dxa"/>
            <w:tcBorders>
              <w:top w:val="single" w:sz="4" w:space="0" w:color="auto"/>
              <w:left w:val="nil"/>
              <w:bottom w:val="single" w:sz="4" w:space="0" w:color="auto"/>
              <w:right w:val="single" w:sz="4" w:space="0" w:color="auto"/>
            </w:tcBorders>
          </w:tcPr>
          <w:p w14:paraId="24A736FE" w14:textId="77777777" w:rsidR="00944FE5" w:rsidRPr="009514D8" w:rsidRDefault="00944FE5" w:rsidP="00944FE5">
            <w:pPr>
              <w:jc w:val="center"/>
              <w:rPr>
                <w:rFonts w:cstheme="minorHAnsi"/>
              </w:rPr>
            </w:pPr>
            <w:r>
              <w:rPr>
                <w:rFonts w:ascii="Calibri" w:hAnsi="Calibri"/>
                <w:color w:val="000000"/>
              </w:rPr>
              <w:t>54.36%</w:t>
            </w:r>
          </w:p>
        </w:tc>
      </w:tr>
      <w:tr w:rsidR="00944FE5" w:rsidRPr="009514D8" w14:paraId="6119E709" w14:textId="77777777" w:rsidTr="00944FE5">
        <w:tc>
          <w:tcPr>
            <w:tcW w:w="2158" w:type="dxa"/>
          </w:tcPr>
          <w:p w14:paraId="0AF00633" w14:textId="77777777" w:rsidR="00944FE5" w:rsidRPr="00EC77AC" w:rsidRDefault="00944FE5" w:rsidP="00944FE5">
            <w:pPr>
              <w:rPr>
                <w:b/>
              </w:rPr>
            </w:pPr>
            <w:r w:rsidRPr="00EC77AC">
              <w:rPr>
                <w:b/>
              </w:rPr>
              <w:t>10%</w:t>
            </w:r>
          </w:p>
        </w:tc>
        <w:tc>
          <w:tcPr>
            <w:tcW w:w="3147" w:type="dxa"/>
            <w:tcBorders>
              <w:top w:val="single" w:sz="4" w:space="0" w:color="auto"/>
              <w:left w:val="nil"/>
              <w:bottom w:val="single" w:sz="4" w:space="0" w:color="auto"/>
              <w:right w:val="single" w:sz="4" w:space="0" w:color="auto"/>
            </w:tcBorders>
            <w:shd w:val="clear" w:color="auto" w:fill="auto"/>
            <w:vAlign w:val="bottom"/>
          </w:tcPr>
          <w:p w14:paraId="352A8C99" w14:textId="7FB4FCAD" w:rsidR="00944FE5" w:rsidRPr="009514D8" w:rsidRDefault="00944FE5" w:rsidP="00944FE5">
            <w:pPr>
              <w:jc w:val="center"/>
              <w:rPr>
                <w:rFonts w:cstheme="minorHAnsi"/>
              </w:rPr>
            </w:pPr>
            <w:r>
              <w:rPr>
                <w:rFonts w:ascii="Calibri" w:hAnsi="Calibri"/>
                <w:color w:val="000000"/>
              </w:rPr>
              <w:t>21.70%</w:t>
            </w:r>
          </w:p>
        </w:tc>
        <w:tc>
          <w:tcPr>
            <w:tcW w:w="3147" w:type="dxa"/>
            <w:tcBorders>
              <w:top w:val="single" w:sz="4" w:space="0" w:color="auto"/>
              <w:left w:val="nil"/>
              <w:bottom w:val="single" w:sz="4" w:space="0" w:color="auto"/>
              <w:right w:val="single" w:sz="4" w:space="0" w:color="auto"/>
            </w:tcBorders>
          </w:tcPr>
          <w:p w14:paraId="3C609AA8" w14:textId="77777777" w:rsidR="00944FE5" w:rsidRPr="009514D8" w:rsidRDefault="00944FE5" w:rsidP="00944FE5">
            <w:pPr>
              <w:jc w:val="center"/>
              <w:rPr>
                <w:rFonts w:cstheme="minorHAnsi"/>
              </w:rPr>
            </w:pPr>
            <w:r>
              <w:rPr>
                <w:rFonts w:ascii="Calibri" w:hAnsi="Calibri"/>
                <w:color w:val="000000"/>
              </w:rPr>
              <w:t>20.94%</w:t>
            </w:r>
          </w:p>
        </w:tc>
      </w:tr>
      <w:tr w:rsidR="00944FE5" w:rsidRPr="009514D8" w14:paraId="2381FBF0" w14:textId="77777777" w:rsidTr="00944FE5">
        <w:tc>
          <w:tcPr>
            <w:tcW w:w="2158" w:type="dxa"/>
          </w:tcPr>
          <w:p w14:paraId="39C13377" w14:textId="77777777" w:rsidR="00944FE5" w:rsidRPr="00EC77AC" w:rsidRDefault="00944FE5" w:rsidP="00944FE5">
            <w:pPr>
              <w:rPr>
                <w:b/>
              </w:rPr>
            </w:pPr>
            <w:r w:rsidRPr="00EC77AC">
              <w:rPr>
                <w:b/>
              </w:rPr>
              <w:t>5%</w:t>
            </w:r>
          </w:p>
        </w:tc>
        <w:tc>
          <w:tcPr>
            <w:tcW w:w="3147" w:type="dxa"/>
            <w:tcBorders>
              <w:top w:val="single" w:sz="4" w:space="0" w:color="auto"/>
              <w:left w:val="nil"/>
              <w:bottom w:val="single" w:sz="4" w:space="0" w:color="auto"/>
              <w:right w:val="single" w:sz="4" w:space="0" w:color="auto"/>
            </w:tcBorders>
            <w:shd w:val="clear" w:color="auto" w:fill="auto"/>
            <w:vAlign w:val="bottom"/>
          </w:tcPr>
          <w:p w14:paraId="43E024FC" w14:textId="2405B63C" w:rsidR="00944FE5" w:rsidRPr="009514D8" w:rsidRDefault="00944FE5" w:rsidP="00944FE5">
            <w:pPr>
              <w:jc w:val="center"/>
              <w:rPr>
                <w:rFonts w:cstheme="minorHAnsi"/>
              </w:rPr>
            </w:pPr>
            <w:r>
              <w:rPr>
                <w:rFonts w:ascii="Calibri" w:hAnsi="Calibri"/>
                <w:color w:val="000000"/>
              </w:rPr>
              <w:t>13.19%</w:t>
            </w:r>
          </w:p>
        </w:tc>
        <w:tc>
          <w:tcPr>
            <w:tcW w:w="3147" w:type="dxa"/>
            <w:tcBorders>
              <w:top w:val="single" w:sz="4" w:space="0" w:color="auto"/>
              <w:left w:val="nil"/>
              <w:bottom w:val="single" w:sz="4" w:space="0" w:color="auto"/>
              <w:right w:val="single" w:sz="4" w:space="0" w:color="auto"/>
            </w:tcBorders>
          </w:tcPr>
          <w:p w14:paraId="08F7BFB3" w14:textId="77777777" w:rsidR="00944FE5" w:rsidRPr="009514D8" w:rsidRDefault="00944FE5" w:rsidP="00944FE5">
            <w:pPr>
              <w:jc w:val="center"/>
              <w:rPr>
                <w:rFonts w:cstheme="minorHAnsi"/>
              </w:rPr>
            </w:pPr>
            <w:r>
              <w:rPr>
                <w:rFonts w:ascii="Calibri" w:hAnsi="Calibri"/>
                <w:color w:val="000000"/>
              </w:rPr>
              <w:t>13.42%</w:t>
            </w:r>
          </w:p>
        </w:tc>
      </w:tr>
      <w:tr w:rsidR="00944FE5" w:rsidRPr="009514D8" w14:paraId="4985CCC9" w14:textId="77777777" w:rsidTr="00944FE5">
        <w:tc>
          <w:tcPr>
            <w:tcW w:w="2158" w:type="dxa"/>
          </w:tcPr>
          <w:p w14:paraId="4CAAEBB8" w14:textId="77777777" w:rsidR="00944FE5" w:rsidRPr="00EC77AC" w:rsidRDefault="00944FE5" w:rsidP="00944FE5">
            <w:pPr>
              <w:rPr>
                <w:b/>
              </w:rPr>
            </w:pPr>
            <w:r>
              <w:rPr>
                <w:b/>
              </w:rPr>
              <w:t>1%</w:t>
            </w:r>
          </w:p>
        </w:tc>
        <w:tc>
          <w:tcPr>
            <w:tcW w:w="3147" w:type="dxa"/>
            <w:tcBorders>
              <w:top w:val="single" w:sz="4" w:space="0" w:color="auto"/>
              <w:left w:val="nil"/>
              <w:bottom w:val="single" w:sz="4" w:space="0" w:color="auto"/>
              <w:right w:val="single" w:sz="4" w:space="0" w:color="auto"/>
            </w:tcBorders>
            <w:shd w:val="clear" w:color="auto" w:fill="auto"/>
            <w:vAlign w:val="bottom"/>
          </w:tcPr>
          <w:p w14:paraId="5421E143" w14:textId="7984E3A2" w:rsidR="00944FE5" w:rsidRPr="009514D8" w:rsidRDefault="00944FE5" w:rsidP="00944FE5">
            <w:pPr>
              <w:jc w:val="center"/>
              <w:rPr>
                <w:rFonts w:cstheme="minorHAnsi"/>
              </w:rPr>
            </w:pPr>
            <w:r>
              <w:rPr>
                <w:rFonts w:ascii="Calibri" w:hAnsi="Calibri"/>
                <w:color w:val="000000"/>
              </w:rPr>
              <w:t>7.79%</w:t>
            </w:r>
          </w:p>
        </w:tc>
        <w:tc>
          <w:tcPr>
            <w:tcW w:w="3147" w:type="dxa"/>
            <w:tcBorders>
              <w:top w:val="single" w:sz="4" w:space="0" w:color="auto"/>
              <w:left w:val="nil"/>
              <w:bottom w:val="single" w:sz="4" w:space="0" w:color="auto"/>
              <w:right w:val="single" w:sz="4" w:space="0" w:color="auto"/>
            </w:tcBorders>
          </w:tcPr>
          <w:p w14:paraId="32CBA500" w14:textId="77777777" w:rsidR="00944FE5" w:rsidRPr="009514D8" w:rsidRDefault="00944FE5" w:rsidP="00944FE5">
            <w:pPr>
              <w:jc w:val="center"/>
              <w:rPr>
                <w:rFonts w:cstheme="minorHAnsi"/>
              </w:rPr>
            </w:pPr>
            <w:r>
              <w:rPr>
                <w:rFonts w:ascii="Calibri" w:hAnsi="Calibri"/>
                <w:color w:val="000000"/>
              </w:rPr>
              <w:t>7.70%</w:t>
            </w:r>
          </w:p>
        </w:tc>
      </w:tr>
      <w:tr w:rsidR="00944FE5" w:rsidRPr="009514D8" w14:paraId="15E148D2" w14:textId="77777777" w:rsidTr="00944FE5">
        <w:tc>
          <w:tcPr>
            <w:tcW w:w="2158" w:type="dxa"/>
          </w:tcPr>
          <w:p w14:paraId="2D0E286B" w14:textId="77777777" w:rsidR="00944FE5" w:rsidRPr="00EC77AC" w:rsidRDefault="00944FE5" w:rsidP="00944FE5">
            <w:pPr>
              <w:rPr>
                <w:b/>
              </w:rPr>
            </w:pPr>
            <w:r>
              <w:rPr>
                <w:b/>
              </w:rPr>
              <w:t>0% Min</w:t>
            </w:r>
          </w:p>
        </w:tc>
        <w:tc>
          <w:tcPr>
            <w:tcW w:w="3147" w:type="dxa"/>
            <w:tcBorders>
              <w:top w:val="single" w:sz="4" w:space="0" w:color="auto"/>
              <w:left w:val="nil"/>
              <w:bottom w:val="single" w:sz="4" w:space="0" w:color="auto"/>
              <w:right w:val="single" w:sz="4" w:space="0" w:color="auto"/>
            </w:tcBorders>
            <w:shd w:val="clear" w:color="auto" w:fill="auto"/>
            <w:vAlign w:val="bottom"/>
          </w:tcPr>
          <w:p w14:paraId="13314BD8" w14:textId="62A949E7" w:rsidR="00944FE5" w:rsidRPr="009514D8" w:rsidRDefault="00944FE5" w:rsidP="00944FE5">
            <w:pPr>
              <w:jc w:val="center"/>
              <w:rPr>
                <w:rFonts w:cstheme="minorHAnsi"/>
              </w:rPr>
            </w:pPr>
            <w:r>
              <w:rPr>
                <w:rFonts w:ascii="Calibri" w:hAnsi="Calibri"/>
                <w:color w:val="000000"/>
              </w:rPr>
              <w:t>6.89%</w:t>
            </w:r>
          </w:p>
        </w:tc>
        <w:tc>
          <w:tcPr>
            <w:tcW w:w="3147" w:type="dxa"/>
            <w:tcBorders>
              <w:top w:val="single" w:sz="4" w:space="0" w:color="auto"/>
              <w:left w:val="nil"/>
              <w:bottom w:val="single" w:sz="4" w:space="0" w:color="auto"/>
              <w:right w:val="single" w:sz="4" w:space="0" w:color="auto"/>
            </w:tcBorders>
          </w:tcPr>
          <w:p w14:paraId="65374F12" w14:textId="77777777" w:rsidR="00944FE5" w:rsidRPr="009514D8" w:rsidRDefault="00944FE5" w:rsidP="00944FE5">
            <w:pPr>
              <w:jc w:val="center"/>
              <w:rPr>
                <w:rFonts w:cstheme="minorHAnsi"/>
              </w:rPr>
            </w:pPr>
            <w:r>
              <w:rPr>
                <w:rFonts w:ascii="Calibri" w:hAnsi="Calibri"/>
                <w:color w:val="000000"/>
              </w:rPr>
              <w:t>6.65%</w:t>
            </w:r>
          </w:p>
        </w:tc>
      </w:tr>
    </w:tbl>
    <w:p w14:paraId="0CABD01F" w14:textId="7F1D0373" w:rsidR="008B604D" w:rsidRDefault="009C7513">
      <w:pPr>
        <w:autoSpaceDE w:val="0"/>
        <w:autoSpaceDN w:val="0"/>
        <w:adjustRightInd w:val="0"/>
        <w:spacing w:after="0" w:line="240" w:lineRule="auto"/>
        <w:rPr>
          <w:rFonts w:cstheme="minorHAnsi"/>
          <w:bCs/>
        </w:rPr>
      </w:pPr>
      <w:r>
        <w:rPr>
          <w:rFonts w:cstheme="minorHAnsi"/>
          <w:b/>
          <w:bCs/>
        </w:rPr>
        <w:lastRenderedPageBreak/>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7EB967A3" w14:textId="68858AFF" w:rsidR="008C19CC" w:rsidRDefault="008C19CC">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50"/>
      </w:tblGrid>
      <w:tr w:rsidR="008C19CC" w14:paraId="33F44ED4" w14:textId="77777777" w:rsidTr="008C19CC">
        <w:tc>
          <w:tcPr>
            <w:tcW w:w="9350" w:type="dxa"/>
          </w:tcPr>
          <w:p w14:paraId="485EEC81" w14:textId="11022E19" w:rsidR="008C19CC" w:rsidRDefault="008C19CC" w:rsidP="008C19CC">
            <w:pPr>
              <w:rPr>
                <w:rFonts w:cs="Calibri"/>
              </w:rPr>
            </w:pPr>
            <w:r>
              <w:rPr>
                <w:rFonts w:cs="Calibri"/>
              </w:rPr>
              <w:t>We assessed the non-response bias by the Pearson correlation between the residuals of the hierarchical outcome model with only clinical risk factors and the probability of response. This correlation is 0.00194 (p-value=0.84). This indicates that there is not an association between the residuals and the probability of response based on our model.</w:t>
            </w:r>
          </w:p>
          <w:p w14:paraId="7CA3DB6A" w14:textId="77777777" w:rsidR="008C19CC" w:rsidRDefault="008C19CC" w:rsidP="008C19CC">
            <w:pPr>
              <w:rPr>
                <w:rFonts w:cs="Calibri"/>
              </w:rPr>
            </w:pPr>
          </w:p>
          <w:p w14:paraId="35256772" w14:textId="77777777" w:rsidR="008C19CC" w:rsidRDefault="008C19CC" w:rsidP="008C19CC">
            <w:pPr>
              <w:rPr>
                <w:rFonts w:cs="Calibri"/>
              </w:rPr>
            </w:pPr>
            <w:r>
              <w:rPr>
                <w:rFonts w:cs="Calibri"/>
              </w:rPr>
              <w:t>We examined the correlation between the residuals of the stabilized inverse probability weighted hierarchical model and the submission probability finding it to be 0.00492 (p-value=0.60) suggesting that there is not an association between the residuals weighting for non-response and probability of response.</w:t>
            </w:r>
          </w:p>
          <w:p w14:paraId="76FE56A7" w14:textId="77777777" w:rsidR="008C19CC" w:rsidRDefault="008C19CC" w:rsidP="008C19CC">
            <w:pPr>
              <w:rPr>
                <w:rFonts w:cs="Calibri"/>
              </w:rPr>
            </w:pPr>
          </w:p>
          <w:p w14:paraId="164F477F" w14:textId="77777777" w:rsidR="008C19CC" w:rsidRDefault="008C19CC" w:rsidP="008C19CC">
            <w:pPr>
              <w:rPr>
                <w:rFonts w:cs="Calibri"/>
              </w:rPr>
            </w:pPr>
            <w:r>
              <w:rPr>
                <w:rFonts w:cs="Calibri"/>
              </w:rPr>
              <w:t>The correlation between RSIR unadjusted and inverse probability weighted RSIR is very high suggesting that the results are not sensitive to our weighting adjustment. However, due to the high proportion of non-responders, we considered it important to account for the differences in characteristics of responders and non-responders found in the literature and empirically in our data.</w:t>
            </w:r>
          </w:p>
          <w:p w14:paraId="4FA0BB36" w14:textId="77777777" w:rsidR="008C19CC" w:rsidRDefault="008C19CC" w:rsidP="008C19CC">
            <w:pPr>
              <w:rPr>
                <w:rFonts w:cs="Calibri"/>
              </w:rPr>
            </w:pPr>
            <w:r>
              <w:rPr>
                <w:rFonts w:cs="Calibri"/>
              </w:rPr>
              <w:t>We assessed the non-response bias by the Pearson correlation between the residuals of the hierarchical outcome model with only clinical risk factors and the probability of response. This correlation is 0.00194 (p-value=0.84). This indicates that there is not an association between the residuals and the probability of response based on our model.</w:t>
            </w:r>
          </w:p>
          <w:p w14:paraId="4331A99F" w14:textId="77777777" w:rsidR="00216D48" w:rsidRDefault="00216D48" w:rsidP="008C19CC">
            <w:pPr>
              <w:rPr>
                <w:rFonts w:cs="Calibri"/>
              </w:rPr>
            </w:pPr>
          </w:p>
          <w:p w14:paraId="5A2AB87C" w14:textId="54D1303B" w:rsidR="00216D48" w:rsidRPr="00216D48" w:rsidRDefault="00216D48" w:rsidP="00216D48">
            <w:pPr>
              <w:pStyle w:val="Caption"/>
              <w:jc w:val="left"/>
              <w:rPr>
                <w:b w:val="0"/>
                <w:szCs w:val="22"/>
              </w:rPr>
            </w:pPr>
            <w:r>
              <w:rPr>
                <w:b w:val="0"/>
              </w:rPr>
              <w:t>The comparison of</w:t>
            </w:r>
            <w:r w:rsidRPr="00675726">
              <w:rPr>
                <w:b w:val="0"/>
                <w:szCs w:val="22"/>
              </w:rPr>
              <w:t xml:space="preserve"> </w:t>
            </w:r>
            <w:r>
              <w:rPr>
                <w:b w:val="0"/>
                <w:szCs w:val="22"/>
              </w:rPr>
              <w:t xml:space="preserve">hospital </w:t>
            </w:r>
            <w:r w:rsidRPr="00675726">
              <w:rPr>
                <w:b w:val="0"/>
                <w:szCs w:val="22"/>
              </w:rPr>
              <w:t xml:space="preserve">RSIRs for </w:t>
            </w:r>
            <w:r>
              <w:rPr>
                <w:b w:val="0"/>
                <w:szCs w:val="22"/>
              </w:rPr>
              <w:t>risk-adjusted model of</w:t>
            </w:r>
            <w:r w:rsidRPr="00675726">
              <w:rPr>
                <w:b w:val="0"/>
                <w:szCs w:val="22"/>
              </w:rPr>
              <w:t xml:space="preserve"> SCB </w:t>
            </w:r>
            <w:r>
              <w:rPr>
                <w:b w:val="0"/>
                <w:szCs w:val="22"/>
              </w:rPr>
              <w:t>i</w:t>
            </w:r>
            <w:r w:rsidRPr="00675726">
              <w:rPr>
                <w:b w:val="0"/>
                <w:szCs w:val="22"/>
              </w:rPr>
              <w:t xml:space="preserve">mprovement </w:t>
            </w:r>
            <w:r>
              <w:rPr>
                <w:b w:val="0"/>
                <w:szCs w:val="22"/>
              </w:rPr>
              <w:t>w</w:t>
            </w:r>
            <w:r w:rsidR="00AE6545">
              <w:rPr>
                <w:b w:val="0"/>
                <w:szCs w:val="22"/>
              </w:rPr>
              <w:t>ith stabilized inverse probability w</w:t>
            </w:r>
            <w:r w:rsidRPr="00675726">
              <w:rPr>
                <w:b w:val="0"/>
                <w:szCs w:val="22"/>
              </w:rPr>
              <w:t xml:space="preserve">eighting </w:t>
            </w:r>
            <w:r>
              <w:rPr>
                <w:b w:val="0"/>
                <w:szCs w:val="22"/>
              </w:rPr>
              <w:t xml:space="preserve">and without </w:t>
            </w:r>
            <w:r w:rsidR="00AE6545">
              <w:rPr>
                <w:b w:val="0"/>
                <w:szCs w:val="22"/>
              </w:rPr>
              <w:t>stabilized inverse probability w</w:t>
            </w:r>
            <w:r>
              <w:rPr>
                <w:b w:val="0"/>
                <w:szCs w:val="22"/>
              </w:rPr>
              <w:t xml:space="preserve">eighting </w:t>
            </w:r>
            <w:r w:rsidRPr="00675726">
              <w:rPr>
                <w:b w:val="0"/>
                <w:szCs w:val="22"/>
              </w:rPr>
              <w:t>(Table 1</w:t>
            </w:r>
            <w:r>
              <w:rPr>
                <w:b w:val="0"/>
                <w:szCs w:val="22"/>
              </w:rPr>
              <w:t>3, above) reveals only a small impact on the measure results of adjusting for potential non-response. However, we expect that non-response bias will be a factor for the THA/TKA PRO-PM measure, due to associations with non-response including socioeconomic status and health status. We therefore retained response bias adjustment for the measure results.</w:t>
            </w:r>
          </w:p>
        </w:tc>
      </w:tr>
    </w:tbl>
    <w:p w14:paraId="663253E4" w14:textId="77777777" w:rsidR="008C19CC" w:rsidRDefault="008C19CC">
      <w:pPr>
        <w:autoSpaceDE w:val="0"/>
        <w:autoSpaceDN w:val="0"/>
        <w:adjustRightInd w:val="0"/>
        <w:spacing w:after="0" w:line="240" w:lineRule="auto"/>
        <w:rPr>
          <w:rFonts w:cstheme="minorHAnsi"/>
          <w:bCs/>
        </w:rPr>
      </w:pPr>
    </w:p>
    <w:bookmarkEnd w:id="20"/>
    <w:p w14:paraId="3D866961" w14:textId="77777777" w:rsidR="008C19CC" w:rsidRDefault="008C19CC">
      <w:pPr>
        <w:autoSpaceDE w:val="0"/>
        <w:autoSpaceDN w:val="0"/>
        <w:adjustRightInd w:val="0"/>
        <w:spacing w:after="0" w:line="240" w:lineRule="auto"/>
        <w:rPr>
          <w:rFonts w:cstheme="minorHAnsi"/>
          <w:bCs/>
        </w:rPr>
      </w:pPr>
    </w:p>
    <w:sectPr w:rsidR="008C19CC" w:rsidSect="008505D1">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FE86" w14:textId="77777777" w:rsidR="00D77281" w:rsidRDefault="00D77281" w:rsidP="005C73CA">
      <w:pPr>
        <w:spacing w:after="0" w:line="240" w:lineRule="auto"/>
      </w:pPr>
      <w:r>
        <w:separator/>
      </w:r>
    </w:p>
  </w:endnote>
  <w:endnote w:type="continuationSeparator" w:id="0">
    <w:p w14:paraId="4DA1110E" w14:textId="77777777" w:rsidR="00D77281" w:rsidRDefault="00D7728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qvltsAdvPTimes">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9DFEBC9" w:rsidR="003917DE" w:rsidRDefault="003917DE">
    <w:pPr>
      <w:pStyle w:val="Footer"/>
    </w:pPr>
    <w:r>
      <w:t>Version 7.1 9/6/2017</w:t>
    </w:r>
    <w:r>
      <w:ptab w:relativeTo="margin" w:alignment="right" w:leader="none"/>
    </w:r>
    <w:r>
      <w:fldChar w:fldCharType="begin"/>
    </w:r>
    <w:r>
      <w:instrText xml:space="preserve"> PAGE   \* MERGEFORMAT </w:instrText>
    </w:r>
    <w:r>
      <w:fldChar w:fldCharType="separate"/>
    </w:r>
    <w:r w:rsidR="00C824AB">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C8793" w14:textId="77777777" w:rsidR="00D77281" w:rsidRDefault="00D77281" w:rsidP="005C73CA">
      <w:pPr>
        <w:spacing w:after="0" w:line="240" w:lineRule="auto"/>
      </w:pPr>
      <w:r>
        <w:separator/>
      </w:r>
    </w:p>
  </w:footnote>
  <w:footnote w:type="continuationSeparator" w:id="0">
    <w:p w14:paraId="23ADAB7C" w14:textId="77777777" w:rsidR="00D77281" w:rsidRDefault="00D77281"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3917DE" w:rsidRPr="00105D8B" w:rsidRDefault="003917DE"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5085C"/>
    <w:multiLevelType w:val="hybridMultilevel"/>
    <w:tmpl w:val="B26EA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06451"/>
    <w:multiLevelType w:val="hybridMultilevel"/>
    <w:tmpl w:val="847E619C"/>
    <w:lvl w:ilvl="0" w:tplc="04090001">
      <w:start w:val="1"/>
      <w:numFmt w:val="bullet"/>
      <w:lvlText w:val=""/>
      <w:lvlJc w:val="left"/>
      <w:pPr>
        <w:ind w:left="600" w:hanging="2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C3D39"/>
    <w:multiLevelType w:val="hybridMultilevel"/>
    <w:tmpl w:val="72A8FE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516DEF"/>
    <w:multiLevelType w:val="hybridMultilevel"/>
    <w:tmpl w:val="C702407A"/>
    <w:lvl w:ilvl="0" w:tplc="3696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3A7218"/>
    <w:multiLevelType w:val="hybridMultilevel"/>
    <w:tmpl w:val="825CA804"/>
    <w:lvl w:ilvl="0" w:tplc="F59E701C">
      <w:numFmt w:val="bullet"/>
      <w:lvlText w:val="-"/>
      <w:lvlJc w:val="left"/>
      <w:pPr>
        <w:ind w:left="720" w:hanging="360"/>
      </w:pPr>
      <w:rPr>
        <w:rFonts w:asciiTheme="minorHAnsi" w:eastAsiaTheme="minorEastAsia"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7918DF"/>
    <w:multiLevelType w:val="hybridMultilevel"/>
    <w:tmpl w:val="91F83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06467A"/>
    <w:multiLevelType w:val="hybridMultilevel"/>
    <w:tmpl w:val="17B00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FD92E00"/>
    <w:multiLevelType w:val="hybridMultilevel"/>
    <w:tmpl w:val="0352DB76"/>
    <w:lvl w:ilvl="0" w:tplc="AE7A309A">
      <w:numFmt w:val="bullet"/>
      <w:lvlText w:val="-"/>
      <w:lvlJc w:val="left"/>
      <w:pPr>
        <w:ind w:left="600" w:hanging="240"/>
      </w:pPr>
      <w:rPr>
        <w:rFonts w:asciiTheme="minorHAnsi" w:eastAsiaTheme="minorEastAsia"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8B45F1"/>
    <w:multiLevelType w:val="hybridMultilevel"/>
    <w:tmpl w:val="DBB2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EA5FE0"/>
    <w:multiLevelType w:val="hybridMultilevel"/>
    <w:tmpl w:val="C6B0E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F5D3BC9"/>
    <w:multiLevelType w:val="hybridMultilevel"/>
    <w:tmpl w:val="A7A4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54FB2"/>
    <w:multiLevelType w:val="hybridMultilevel"/>
    <w:tmpl w:val="41689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2D0A6F"/>
    <w:multiLevelType w:val="hybridMultilevel"/>
    <w:tmpl w:val="9E861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E5C2C"/>
    <w:multiLevelType w:val="hybridMultilevel"/>
    <w:tmpl w:val="AA70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36EA3"/>
    <w:multiLevelType w:val="hybridMultilevel"/>
    <w:tmpl w:val="9A8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4"/>
  </w:num>
  <w:num w:numId="4">
    <w:abstractNumId w:val="7"/>
  </w:num>
  <w:num w:numId="5">
    <w:abstractNumId w:val="2"/>
  </w:num>
  <w:num w:numId="6">
    <w:abstractNumId w:val="1"/>
  </w:num>
  <w:num w:numId="7">
    <w:abstractNumId w:val="5"/>
  </w:num>
  <w:num w:numId="8">
    <w:abstractNumId w:val="30"/>
  </w:num>
  <w:num w:numId="9">
    <w:abstractNumId w:val="17"/>
  </w:num>
  <w:num w:numId="10">
    <w:abstractNumId w:val="38"/>
  </w:num>
  <w:num w:numId="11">
    <w:abstractNumId w:val="19"/>
  </w:num>
  <w:num w:numId="12">
    <w:abstractNumId w:val="34"/>
  </w:num>
  <w:num w:numId="13">
    <w:abstractNumId w:val="27"/>
  </w:num>
  <w:num w:numId="14">
    <w:abstractNumId w:val="2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3"/>
  </w:num>
  <w:num w:numId="17">
    <w:abstractNumId w:val="37"/>
  </w:num>
  <w:num w:numId="18">
    <w:abstractNumId w:val="32"/>
  </w:num>
  <w:num w:numId="19">
    <w:abstractNumId w:val="31"/>
  </w:num>
  <w:num w:numId="20">
    <w:abstractNumId w:val="23"/>
  </w:num>
  <w:num w:numId="21">
    <w:abstractNumId w:val="28"/>
  </w:num>
  <w:num w:numId="22">
    <w:abstractNumId w:val="22"/>
  </w:num>
  <w:num w:numId="23">
    <w:abstractNumId w:val="11"/>
  </w:num>
  <w:num w:numId="24">
    <w:abstractNumId w:val="21"/>
  </w:num>
  <w:num w:numId="25">
    <w:abstractNumId w:val="20"/>
  </w:num>
  <w:num w:numId="26">
    <w:abstractNumId w:val="40"/>
  </w:num>
  <w:num w:numId="27">
    <w:abstractNumId w:val="0"/>
  </w:num>
  <w:num w:numId="28">
    <w:abstractNumId w:val="15"/>
  </w:num>
  <w:num w:numId="29">
    <w:abstractNumId w:val="24"/>
  </w:num>
  <w:num w:numId="30">
    <w:abstractNumId w:val="9"/>
  </w:num>
  <w:num w:numId="31">
    <w:abstractNumId w:val="42"/>
  </w:num>
  <w:num w:numId="32">
    <w:abstractNumId w:val="33"/>
  </w:num>
  <w:num w:numId="33">
    <w:abstractNumId w:val="10"/>
  </w:num>
  <w:num w:numId="34">
    <w:abstractNumId w:val="29"/>
  </w:num>
  <w:num w:numId="35">
    <w:abstractNumId w:val="12"/>
  </w:num>
  <w:num w:numId="36">
    <w:abstractNumId w:val="14"/>
  </w:num>
  <w:num w:numId="37">
    <w:abstractNumId w:val="41"/>
  </w:num>
  <w:num w:numId="38">
    <w:abstractNumId w:val="26"/>
  </w:num>
  <w:num w:numId="39">
    <w:abstractNumId w:val="8"/>
  </w:num>
  <w:num w:numId="40">
    <w:abstractNumId w:val="36"/>
  </w:num>
  <w:num w:numId="41">
    <w:abstractNumId w:val="16"/>
  </w:num>
  <w:num w:numId="42">
    <w:abstractNumId w:val="35"/>
  </w:num>
  <w:num w:numId="43">
    <w:abstractNumId w:val="39"/>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40B8"/>
    <w:rsid w:val="00015F44"/>
    <w:rsid w:val="00016AF6"/>
    <w:rsid w:val="00021170"/>
    <w:rsid w:val="0002128B"/>
    <w:rsid w:val="00024DFD"/>
    <w:rsid w:val="00025B4E"/>
    <w:rsid w:val="00027AB8"/>
    <w:rsid w:val="000309DD"/>
    <w:rsid w:val="00031414"/>
    <w:rsid w:val="00033038"/>
    <w:rsid w:val="00033D63"/>
    <w:rsid w:val="00033F68"/>
    <w:rsid w:val="0003436F"/>
    <w:rsid w:val="00035579"/>
    <w:rsid w:val="000414E8"/>
    <w:rsid w:val="00041B5D"/>
    <w:rsid w:val="00042DF6"/>
    <w:rsid w:val="00043018"/>
    <w:rsid w:val="0004593A"/>
    <w:rsid w:val="00050A3E"/>
    <w:rsid w:val="00052A6F"/>
    <w:rsid w:val="00053F02"/>
    <w:rsid w:val="0005612B"/>
    <w:rsid w:val="000574AB"/>
    <w:rsid w:val="0006147A"/>
    <w:rsid w:val="00061CD6"/>
    <w:rsid w:val="0006234F"/>
    <w:rsid w:val="00062809"/>
    <w:rsid w:val="00062A58"/>
    <w:rsid w:val="00064919"/>
    <w:rsid w:val="00065FC6"/>
    <w:rsid w:val="00065FC9"/>
    <w:rsid w:val="000703DA"/>
    <w:rsid w:val="00071420"/>
    <w:rsid w:val="00075DD1"/>
    <w:rsid w:val="000775F8"/>
    <w:rsid w:val="00080CF7"/>
    <w:rsid w:val="000822BD"/>
    <w:rsid w:val="0008398B"/>
    <w:rsid w:val="000851B2"/>
    <w:rsid w:val="00092566"/>
    <w:rsid w:val="000968F8"/>
    <w:rsid w:val="00097012"/>
    <w:rsid w:val="000A445D"/>
    <w:rsid w:val="000A5DA8"/>
    <w:rsid w:val="000A700D"/>
    <w:rsid w:val="000B032A"/>
    <w:rsid w:val="000B2DF7"/>
    <w:rsid w:val="000B3754"/>
    <w:rsid w:val="000B3814"/>
    <w:rsid w:val="000B3880"/>
    <w:rsid w:val="000B6DFC"/>
    <w:rsid w:val="000B7D57"/>
    <w:rsid w:val="000C003F"/>
    <w:rsid w:val="000C036D"/>
    <w:rsid w:val="000C0673"/>
    <w:rsid w:val="000C0FF8"/>
    <w:rsid w:val="000C1412"/>
    <w:rsid w:val="000C17E2"/>
    <w:rsid w:val="000C3682"/>
    <w:rsid w:val="000C4B23"/>
    <w:rsid w:val="000C598B"/>
    <w:rsid w:val="000D2722"/>
    <w:rsid w:val="000D59E5"/>
    <w:rsid w:val="000D5D5A"/>
    <w:rsid w:val="000D7948"/>
    <w:rsid w:val="000D7C84"/>
    <w:rsid w:val="000E3877"/>
    <w:rsid w:val="000E4E13"/>
    <w:rsid w:val="000E78F6"/>
    <w:rsid w:val="000F034A"/>
    <w:rsid w:val="000F06B5"/>
    <w:rsid w:val="000F163C"/>
    <w:rsid w:val="000F1B7A"/>
    <w:rsid w:val="000F39E9"/>
    <w:rsid w:val="000F68C3"/>
    <w:rsid w:val="000F7FA5"/>
    <w:rsid w:val="00101293"/>
    <w:rsid w:val="00104B45"/>
    <w:rsid w:val="00105D8B"/>
    <w:rsid w:val="0011342F"/>
    <w:rsid w:val="00117234"/>
    <w:rsid w:val="001202E9"/>
    <w:rsid w:val="0012454F"/>
    <w:rsid w:val="00125273"/>
    <w:rsid w:val="0012575E"/>
    <w:rsid w:val="00126A14"/>
    <w:rsid w:val="00127C06"/>
    <w:rsid w:val="00127CA3"/>
    <w:rsid w:val="00127E46"/>
    <w:rsid w:val="001304BC"/>
    <w:rsid w:val="0013346C"/>
    <w:rsid w:val="00133E7F"/>
    <w:rsid w:val="00134B6E"/>
    <w:rsid w:val="00135C36"/>
    <w:rsid w:val="00135D49"/>
    <w:rsid w:val="00141150"/>
    <w:rsid w:val="001428D7"/>
    <w:rsid w:val="00145149"/>
    <w:rsid w:val="00145D4F"/>
    <w:rsid w:val="0014773C"/>
    <w:rsid w:val="001626D4"/>
    <w:rsid w:val="0016651D"/>
    <w:rsid w:val="001677B7"/>
    <w:rsid w:val="001677BB"/>
    <w:rsid w:val="001735E1"/>
    <w:rsid w:val="00175335"/>
    <w:rsid w:val="0017593E"/>
    <w:rsid w:val="00176249"/>
    <w:rsid w:val="0017696D"/>
    <w:rsid w:val="001828FC"/>
    <w:rsid w:val="00183B1C"/>
    <w:rsid w:val="001848FC"/>
    <w:rsid w:val="00193F21"/>
    <w:rsid w:val="0019538D"/>
    <w:rsid w:val="001969C5"/>
    <w:rsid w:val="00197A8D"/>
    <w:rsid w:val="001A3435"/>
    <w:rsid w:val="001A5084"/>
    <w:rsid w:val="001A6CDD"/>
    <w:rsid w:val="001B1F32"/>
    <w:rsid w:val="001B3C00"/>
    <w:rsid w:val="001B70FF"/>
    <w:rsid w:val="001C12EE"/>
    <w:rsid w:val="001C4FB5"/>
    <w:rsid w:val="001C5E78"/>
    <w:rsid w:val="001C7B02"/>
    <w:rsid w:val="001D3AA7"/>
    <w:rsid w:val="001E170B"/>
    <w:rsid w:val="001E3C56"/>
    <w:rsid w:val="001E4DD4"/>
    <w:rsid w:val="001E4F09"/>
    <w:rsid w:val="001E69DC"/>
    <w:rsid w:val="001E7A95"/>
    <w:rsid w:val="001F169D"/>
    <w:rsid w:val="001F1DA1"/>
    <w:rsid w:val="001F6F93"/>
    <w:rsid w:val="001F7A20"/>
    <w:rsid w:val="00200F5E"/>
    <w:rsid w:val="0020434E"/>
    <w:rsid w:val="00204B7E"/>
    <w:rsid w:val="002061BF"/>
    <w:rsid w:val="0021054A"/>
    <w:rsid w:val="00210D90"/>
    <w:rsid w:val="0021195A"/>
    <w:rsid w:val="00211BD9"/>
    <w:rsid w:val="00212794"/>
    <w:rsid w:val="00213383"/>
    <w:rsid w:val="00215234"/>
    <w:rsid w:val="00216D48"/>
    <w:rsid w:val="00220250"/>
    <w:rsid w:val="00220478"/>
    <w:rsid w:val="00222444"/>
    <w:rsid w:val="00222693"/>
    <w:rsid w:val="002228E1"/>
    <w:rsid w:val="00223838"/>
    <w:rsid w:val="00223BAE"/>
    <w:rsid w:val="0022691B"/>
    <w:rsid w:val="00230255"/>
    <w:rsid w:val="00230B72"/>
    <w:rsid w:val="00232163"/>
    <w:rsid w:val="002376F8"/>
    <w:rsid w:val="002408E4"/>
    <w:rsid w:val="00241591"/>
    <w:rsid w:val="00250B4F"/>
    <w:rsid w:val="002529AB"/>
    <w:rsid w:val="0025762F"/>
    <w:rsid w:val="0026219E"/>
    <w:rsid w:val="00265476"/>
    <w:rsid w:val="00271557"/>
    <w:rsid w:val="00271DFB"/>
    <w:rsid w:val="00275563"/>
    <w:rsid w:val="002810AC"/>
    <w:rsid w:val="0028114D"/>
    <w:rsid w:val="00282F2F"/>
    <w:rsid w:val="00287649"/>
    <w:rsid w:val="00287E84"/>
    <w:rsid w:val="00291531"/>
    <w:rsid w:val="00291AE5"/>
    <w:rsid w:val="0029286C"/>
    <w:rsid w:val="0029300E"/>
    <w:rsid w:val="0029456E"/>
    <w:rsid w:val="00295797"/>
    <w:rsid w:val="00296751"/>
    <w:rsid w:val="002B0C3A"/>
    <w:rsid w:val="002B2116"/>
    <w:rsid w:val="002B2D9B"/>
    <w:rsid w:val="002B3B67"/>
    <w:rsid w:val="002B5016"/>
    <w:rsid w:val="002B52E5"/>
    <w:rsid w:val="002B742C"/>
    <w:rsid w:val="002B7F4D"/>
    <w:rsid w:val="002C158F"/>
    <w:rsid w:val="002C285C"/>
    <w:rsid w:val="002C7BE4"/>
    <w:rsid w:val="002D1E3A"/>
    <w:rsid w:val="002D417D"/>
    <w:rsid w:val="002D51E6"/>
    <w:rsid w:val="002D5E5D"/>
    <w:rsid w:val="002E0AAF"/>
    <w:rsid w:val="002E463A"/>
    <w:rsid w:val="002E72AB"/>
    <w:rsid w:val="002E78A0"/>
    <w:rsid w:val="002F1293"/>
    <w:rsid w:val="002F2687"/>
    <w:rsid w:val="002F2726"/>
    <w:rsid w:val="002F48E1"/>
    <w:rsid w:val="002F4F3B"/>
    <w:rsid w:val="002F652D"/>
    <w:rsid w:val="00302F5D"/>
    <w:rsid w:val="0030325D"/>
    <w:rsid w:val="00303D50"/>
    <w:rsid w:val="00304C86"/>
    <w:rsid w:val="0030529C"/>
    <w:rsid w:val="003059EB"/>
    <w:rsid w:val="00307F40"/>
    <w:rsid w:val="003116AC"/>
    <w:rsid w:val="00311EB5"/>
    <w:rsid w:val="00315567"/>
    <w:rsid w:val="00315585"/>
    <w:rsid w:val="0032220F"/>
    <w:rsid w:val="0032341C"/>
    <w:rsid w:val="00323F7B"/>
    <w:rsid w:val="00324C2D"/>
    <w:rsid w:val="00330144"/>
    <w:rsid w:val="003341BF"/>
    <w:rsid w:val="00334329"/>
    <w:rsid w:val="00336AEB"/>
    <w:rsid w:val="0034301E"/>
    <w:rsid w:val="00344C4B"/>
    <w:rsid w:val="003456E1"/>
    <w:rsid w:val="00345CBA"/>
    <w:rsid w:val="00346245"/>
    <w:rsid w:val="003504E2"/>
    <w:rsid w:val="00352DBA"/>
    <w:rsid w:val="00356267"/>
    <w:rsid w:val="00356BAD"/>
    <w:rsid w:val="003605B4"/>
    <w:rsid w:val="00361DD4"/>
    <w:rsid w:val="003627AC"/>
    <w:rsid w:val="00364BD1"/>
    <w:rsid w:val="00366914"/>
    <w:rsid w:val="00372615"/>
    <w:rsid w:val="00372FE3"/>
    <w:rsid w:val="003755CB"/>
    <w:rsid w:val="00383F85"/>
    <w:rsid w:val="00387BA1"/>
    <w:rsid w:val="003916A7"/>
    <w:rsid w:val="003917DE"/>
    <w:rsid w:val="00391893"/>
    <w:rsid w:val="00391B40"/>
    <w:rsid w:val="00394224"/>
    <w:rsid w:val="003A2309"/>
    <w:rsid w:val="003A306C"/>
    <w:rsid w:val="003A5E3A"/>
    <w:rsid w:val="003A7DE7"/>
    <w:rsid w:val="003B1006"/>
    <w:rsid w:val="003C344B"/>
    <w:rsid w:val="003C5F11"/>
    <w:rsid w:val="003D294B"/>
    <w:rsid w:val="003D6401"/>
    <w:rsid w:val="003E0CE4"/>
    <w:rsid w:val="003E1863"/>
    <w:rsid w:val="003E61C9"/>
    <w:rsid w:val="003E7C22"/>
    <w:rsid w:val="003F1388"/>
    <w:rsid w:val="003F1408"/>
    <w:rsid w:val="003F2511"/>
    <w:rsid w:val="003F3587"/>
    <w:rsid w:val="003F4A00"/>
    <w:rsid w:val="00402ABB"/>
    <w:rsid w:val="00405892"/>
    <w:rsid w:val="0041410C"/>
    <w:rsid w:val="00414500"/>
    <w:rsid w:val="004147D6"/>
    <w:rsid w:val="0041606D"/>
    <w:rsid w:val="00416962"/>
    <w:rsid w:val="004206A8"/>
    <w:rsid w:val="004238E0"/>
    <w:rsid w:val="00427402"/>
    <w:rsid w:val="00430AF9"/>
    <w:rsid w:val="00433F49"/>
    <w:rsid w:val="004348CC"/>
    <w:rsid w:val="00441EF0"/>
    <w:rsid w:val="004473F2"/>
    <w:rsid w:val="00447BD8"/>
    <w:rsid w:val="00450C58"/>
    <w:rsid w:val="004539AD"/>
    <w:rsid w:val="004572F6"/>
    <w:rsid w:val="00457559"/>
    <w:rsid w:val="0046009B"/>
    <w:rsid w:val="004656D0"/>
    <w:rsid w:val="00465811"/>
    <w:rsid w:val="004658FF"/>
    <w:rsid w:val="00470684"/>
    <w:rsid w:val="00474ED7"/>
    <w:rsid w:val="004756E1"/>
    <w:rsid w:val="004776CD"/>
    <w:rsid w:val="0048008A"/>
    <w:rsid w:val="0048218A"/>
    <w:rsid w:val="00483E94"/>
    <w:rsid w:val="00484120"/>
    <w:rsid w:val="004853A0"/>
    <w:rsid w:val="004872F7"/>
    <w:rsid w:val="0049277B"/>
    <w:rsid w:val="00494912"/>
    <w:rsid w:val="00496B5F"/>
    <w:rsid w:val="004A08D3"/>
    <w:rsid w:val="004A2E10"/>
    <w:rsid w:val="004B0E8F"/>
    <w:rsid w:val="004B144B"/>
    <w:rsid w:val="004B17FF"/>
    <w:rsid w:val="004B1BA0"/>
    <w:rsid w:val="004B391E"/>
    <w:rsid w:val="004B4638"/>
    <w:rsid w:val="004B509B"/>
    <w:rsid w:val="004B6CEE"/>
    <w:rsid w:val="004C2443"/>
    <w:rsid w:val="004C2AF9"/>
    <w:rsid w:val="004C498F"/>
    <w:rsid w:val="004C5D29"/>
    <w:rsid w:val="004C681A"/>
    <w:rsid w:val="004C7592"/>
    <w:rsid w:val="004D1260"/>
    <w:rsid w:val="004D1620"/>
    <w:rsid w:val="004D2CE5"/>
    <w:rsid w:val="004D4D8A"/>
    <w:rsid w:val="004D733F"/>
    <w:rsid w:val="004F13BC"/>
    <w:rsid w:val="004F68EE"/>
    <w:rsid w:val="005000DF"/>
    <w:rsid w:val="005009D1"/>
    <w:rsid w:val="00503542"/>
    <w:rsid w:val="005038D5"/>
    <w:rsid w:val="00507DE5"/>
    <w:rsid w:val="00510D4D"/>
    <w:rsid w:val="00511BA4"/>
    <w:rsid w:val="005149E7"/>
    <w:rsid w:val="005165C8"/>
    <w:rsid w:val="00516AC2"/>
    <w:rsid w:val="005232D6"/>
    <w:rsid w:val="00524A3E"/>
    <w:rsid w:val="00532CA8"/>
    <w:rsid w:val="005333CC"/>
    <w:rsid w:val="005363F1"/>
    <w:rsid w:val="00537C1B"/>
    <w:rsid w:val="00542A33"/>
    <w:rsid w:val="00545A22"/>
    <w:rsid w:val="0055007C"/>
    <w:rsid w:val="00552A81"/>
    <w:rsid w:val="00554922"/>
    <w:rsid w:val="00555282"/>
    <w:rsid w:val="005560E7"/>
    <w:rsid w:val="005612CC"/>
    <w:rsid w:val="005622C4"/>
    <w:rsid w:val="00563029"/>
    <w:rsid w:val="00563490"/>
    <w:rsid w:val="005650B1"/>
    <w:rsid w:val="00565946"/>
    <w:rsid w:val="00567D12"/>
    <w:rsid w:val="005740AD"/>
    <w:rsid w:val="00574BE6"/>
    <w:rsid w:val="00576062"/>
    <w:rsid w:val="00580FC5"/>
    <w:rsid w:val="00583C3B"/>
    <w:rsid w:val="00584805"/>
    <w:rsid w:val="00584876"/>
    <w:rsid w:val="0058506A"/>
    <w:rsid w:val="0058636B"/>
    <w:rsid w:val="00586D8D"/>
    <w:rsid w:val="00592399"/>
    <w:rsid w:val="00594E8C"/>
    <w:rsid w:val="0059559F"/>
    <w:rsid w:val="005A15FF"/>
    <w:rsid w:val="005A2BD3"/>
    <w:rsid w:val="005A3342"/>
    <w:rsid w:val="005A49FF"/>
    <w:rsid w:val="005A605C"/>
    <w:rsid w:val="005A7634"/>
    <w:rsid w:val="005B09E1"/>
    <w:rsid w:val="005B1D7E"/>
    <w:rsid w:val="005B2DD3"/>
    <w:rsid w:val="005B563D"/>
    <w:rsid w:val="005B6F04"/>
    <w:rsid w:val="005C0447"/>
    <w:rsid w:val="005C1404"/>
    <w:rsid w:val="005C18A7"/>
    <w:rsid w:val="005C26B2"/>
    <w:rsid w:val="005C739F"/>
    <w:rsid w:val="005C73CA"/>
    <w:rsid w:val="005D0EAC"/>
    <w:rsid w:val="005D280C"/>
    <w:rsid w:val="005D4768"/>
    <w:rsid w:val="005D4A23"/>
    <w:rsid w:val="005D4C6B"/>
    <w:rsid w:val="005E2CAB"/>
    <w:rsid w:val="005E429E"/>
    <w:rsid w:val="005E465F"/>
    <w:rsid w:val="005F246B"/>
    <w:rsid w:val="00600F12"/>
    <w:rsid w:val="00601ED4"/>
    <w:rsid w:val="006023CE"/>
    <w:rsid w:val="006030BC"/>
    <w:rsid w:val="006030C7"/>
    <w:rsid w:val="00610647"/>
    <w:rsid w:val="00611D94"/>
    <w:rsid w:val="00612819"/>
    <w:rsid w:val="00612866"/>
    <w:rsid w:val="00613EF1"/>
    <w:rsid w:val="00616EB5"/>
    <w:rsid w:val="006201BB"/>
    <w:rsid w:val="006234FE"/>
    <w:rsid w:val="006241A6"/>
    <w:rsid w:val="006269D4"/>
    <w:rsid w:val="00627F38"/>
    <w:rsid w:val="006327D8"/>
    <w:rsid w:val="0064070A"/>
    <w:rsid w:val="00643A01"/>
    <w:rsid w:val="00645877"/>
    <w:rsid w:val="00645F96"/>
    <w:rsid w:val="006465E8"/>
    <w:rsid w:val="00651D44"/>
    <w:rsid w:val="00651E54"/>
    <w:rsid w:val="0065202B"/>
    <w:rsid w:val="0065681B"/>
    <w:rsid w:val="006574D2"/>
    <w:rsid w:val="00663563"/>
    <w:rsid w:val="0066560F"/>
    <w:rsid w:val="00665D00"/>
    <w:rsid w:val="0066618A"/>
    <w:rsid w:val="006676D4"/>
    <w:rsid w:val="0067258C"/>
    <w:rsid w:val="00675535"/>
    <w:rsid w:val="00675726"/>
    <w:rsid w:val="00675B77"/>
    <w:rsid w:val="00677248"/>
    <w:rsid w:val="00680594"/>
    <w:rsid w:val="0068116F"/>
    <w:rsid w:val="00681359"/>
    <w:rsid w:val="0069157C"/>
    <w:rsid w:val="0069503B"/>
    <w:rsid w:val="00695C66"/>
    <w:rsid w:val="00696262"/>
    <w:rsid w:val="006A451D"/>
    <w:rsid w:val="006A6746"/>
    <w:rsid w:val="006A7171"/>
    <w:rsid w:val="006B2449"/>
    <w:rsid w:val="006B2EC8"/>
    <w:rsid w:val="006B67C4"/>
    <w:rsid w:val="006B7BA5"/>
    <w:rsid w:val="006C01F2"/>
    <w:rsid w:val="006C3A4F"/>
    <w:rsid w:val="006C4845"/>
    <w:rsid w:val="006D6BC1"/>
    <w:rsid w:val="006E2BFC"/>
    <w:rsid w:val="006E4816"/>
    <w:rsid w:val="006E5C57"/>
    <w:rsid w:val="006F22A5"/>
    <w:rsid w:val="006F4428"/>
    <w:rsid w:val="00702C73"/>
    <w:rsid w:val="00704059"/>
    <w:rsid w:val="00704126"/>
    <w:rsid w:val="00704360"/>
    <w:rsid w:val="00713394"/>
    <w:rsid w:val="0072097A"/>
    <w:rsid w:val="007232D2"/>
    <w:rsid w:val="00724677"/>
    <w:rsid w:val="00725AC2"/>
    <w:rsid w:val="00727EF2"/>
    <w:rsid w:val="00732880"/>
    <w:rsid w:val="00732907"/>
    <w:rsid w:val="00733970"/>
    <w:rsid w:val="007348B0"/>
    <w:rsid w:val="00735B3C"/>
    <w:rsid w:val="007416B9"/>
    <w:rsid w:val="007422FD"/>
    <w:rsid w:val="00742A39"/>
    <w:rsid w:val="00743E46"/>
    <w:rsid w:val="007460BB"/>
    <w:rsid w:val="00746C95"/>
    <w:rsid w:val="00747C45"/>
    <w:rsid w:val="00751A23"/>
    <w:rsid w:val="00756FDB"/>
    <w:rsid w:val="007629B6"/>
    <w:rsid w:val="007635C2"/>
    <w:rsid w:val="00765AE3"/>
    <w:rsid w:val="007665BF"/>
    <w:rsid w:val="00771B2A"/>
    <w:rsid w:val="007757CE"/>
    <w:rsid w:val="00775800"/>
    <w:rsid w:val="00776FFA"/>
    <w:rsid w:val="0078015E"/>
    <w:rsid w:val="00785175"/>
    <w:rsid w:val="0079180E"/>
    <w:rsid w:val="007950CC"/>
    <w:rsid w:val="0079538B"/>
    <w:rsid w:val="007961B8"/>
    <w:rsid w:val="00797624"/>
    <w:rsid w:val="007A05CD"/>
    <w:rsid w:val="007A1D4D"/>
    <w:rsid w:val="007A4828"/>
    <w:rsid w:val="007A5338"/>
    <w:rsid w:val="007B093D"/>
    <w:rsid w:val="007B2069"/>
    <w:rsid w:val="007B2730"/>
    <w:rsid w:val="007C04A1"/>
    <w:rsid w:val="007C1D0E"/>
    <w:rsid w:val="007C21FA"/>
    <w:rsid w:val="007C3821"/>
    <w:rsid w:val="007C7A77"/>
    <w:rsid w:val="007D13B1"/>
    <w:rsid w:val="007D1E01"/>
    <w:rsid w:val="007D2C45"/>
    <w:rsid w:val="007D4351"/>
    <w:rsid w:val="007D4C93"/>
    <w:rsid w:val="007D6409"/>
    <w:rsid w:val="007D6EDE"/>
    <w:rsid w:val="007D7019"/>
    <w:rsid w:val="007D7382"/>
    <w:rsid w:val="007D7A07"/>
    <w:rsid w:val="007E18DB"/>
    <w:rsid w:val="007E5179"/>
    <w:rsid w:val="007E6F1C"/>
    <w:rsid w:val="007E7DE4"/>
    <w:rsid w:val="007F03AE"/>
    <w:rsid w:val="007F1371"/>
    <w:rsid w:val="007F3234"/>
    <w:rsid w:val="007F5478"/>
    <w:rsid w:val="00804C69"/>
    <w:rsid w:val="0080711D"/>
    <w:rsid w:val="00815429"/>
    <w:rsid w:val="008155CD"/>
    <w:rsid w:val="008174B5"/>
    <w:rsid w:val="008205AD"/>
    <w:rsid w:val="0082089F"/>
    <w:rsid w:val="0082144F"/>
    <w:rsid w:val="00826F9C"/>
    <w:rsid w:val="00827357"/>
    <w:rsid w:val="00833325"/>
    <w:rsid w:val="0083340E"/>
    <w:rsid w:val="00833477"/>
    <w:rsid w:val="0083797C"/>
    <w:rsid w:val="008401A9"/>
    <w:rsid w:val="00840A41"/>
    <w:rsid w:val="00842F3C"/>
    <w:rsid w:val="00846508"/>
    <w:rsid w:val="008505D1"/>
    <w:rsid w:val="008549F1"/>
    <w:rsid w:val="00855158"/>
    <w:rsid w:val="00856957"/>
    <w:rsid w:val="00857EE8"/>
    <w:rsid w:val="0086252D"/>
    <w:rsid w:val="00864427"/>
    <w:rsid w:val="0086464B"/>
    <w:rsid w:val="008647FC"/>
    <w:rsid w:val="00864CA8"/>
    <w:rsid w:val="00865E2D"/>
    <w:rsid w:val="00870E6C"/>
    <w:rsid w:val="00872DF8"/>
    <w:rsid w:val="00875846"/>
    <w:rsid w:val="00884486"/>
    <w:rsid w:val="00884A2D"/>
    <w:rsid w:val="00885631"/>
    <w:rsid w:val="00885EF5"/>
    <w:rsid w:val="00885FDE"/>
    <w:rsid w:val="008871A9"/>
    <w:rsid w:val="00891422"/>
    <w:rsid w:val="008916BA"/>
    <w:rsid w:val="00892176"/>
    <w:rsid w:val="008A1DB7"/>
    <w:rsid w:val="008A403A"/>
    <w:rsid w:val="008A4C13"/>
    <w:rsid w:val="008A7217"/>
    <w:rsid w:val="008B2676"/>
    <w:rsid w:val="008B3738"/>
    <w:rsid w:val="008B604D"/>
    <w:rsid w:val="008B6942"/>
    <w:rsid w:val="008C19CC"/>
    <w:rsid w:val="008C54A9"/>
    <w:rsid w:val="008D04D5"/>
    <w:rsid w:val="008D18E1"/>
    <w:rsid w:val="008D30AC"/>
    <w:rsid w:val="008D4883"/>
    <w:rsid w:val="008D69CF"/>
    <w:rsid w:val="008E03F0"/>
    <w:rsid w:val="008E67C3"/>
    <w:rsid w:val="008F1703"/>
    <w:rsid w:val="008F270D"/>
    <w:rsid w:val="008F589F"/>
    <w:rsid w:val="008F5D02"/>
    <w:rsid w:val="008F76A9"/>
    <w:rsid w:val="008F7E67"/>
    <w:rsid w:val="00900DBF"/>
    <w:rsid w:val="00901A53"/>
    <w:rsid w:val="009040EC"/>
    <w:rsid w:val="009048B9"/>
    <w:rsid w:val="00904E91"/>
    <w:rsid w:val="009144BE"/>
    <w:rsid w:val="00915886"/>
    <w:rsid w:val="009214DC"/>
    <w:rsid w:val="009232F6"/>
    <w:rsid w:val="00925D4C"/>
    <w:rsid w:val="00927027"/>
    <w:rsid w:val="00933E45"/>
    <w:rsid w:val="00933FDD"/>
    <w:rsid w:val="009344BA"/>
    <w:rsid w:val="009348E0"/>
    <w:rsid w:val="00937135"/>
    <w:rsid w:val="00941EAB"/>
    <w:rsid w:val="00944FE5"/>
    <w:rsid w:val="009468FD"/>
    <w:rsid w:val="00946E61"/>
    <w:rsid w:val="00947F78"/>
    <w:rsid w:val="00953234"/>
    <w:rsid w:val="00953B46"/>
    <w:rsid w:val="00955E1D"/>
    <w:rsid w:val="00961EAF"/>
    <w:rsid w:val="0096278F"/>
    <w:rsid w:val="00966B01"/>
    <w:rsid w:val="00966BC3"/>
    <w:rsid w:val="00970ADB"/>
    <w:rsid w:val="00970EBD"/>
    <w:rsid w:val="009726E1"/>
    <w:rsid w:val="00972931"/>
    <w:rsid w:val="00972A04"/>
    <w:rsid w:val="00975755"/>
    <w:rsid w:val="00977591"/>
    <w:rsid w:val="00980E75"/>
    <w:rsid w:val="009904BB"/>
    <w:rsid w:val="00994BE0"/>
    <w:rsid w:val="009A25B1"/>
    <w:rsid w:val="009A2B6A"/>
    <w:rsid w:val="009A4608"/>
    <w:rsid w:val="009A53D1"/>
    <w:rsid w:val="009A6A57"/>
    <w:rsid w:val="009A6F7E"/>
    <w:rsid w:val="009A70BF"/>
    <w:rsid w:val="009B1A15"/>
    <w:rsid w:val="009B2840"/>
    <w:rsid w:val="009B343F"/>
    <w:rsid w:val="009B58C8"/>
    <w:rsid w:val="009B71C5"/>
    <w:rsid w:val="009C0852"/>
    <w:rsid w:val="009C13CA"/>
    <w:rsid w:val="009C1662"/>
    <w:rsid w:val="009C2DFF"/>
    <w:rsid w:val="009C32C6"/>
    <w:rsid w:val="009C3E46"/>
    <w:rsid w:val="009C665F"/>
    <w:rsid w:val="009C7513"/>
    <w:rsid w:val="009C7FD2"/>
    <w:rsid w:val="009D2E8B"/>
    <w:rsid w:val="009D3882"/>
    <w:rsid w:val="009D7E38"/>
    <w:rsid w:val="009E095B"/>
    <w:rsid w:val="009E1846"/>
    <w:rsid w:val="009E6E39"/>
    <w:rsid w:val="009E78FF"/>
    <w:rsid w:val="009F0202"/>
    <w:rsid w:val="009F1208"/>
    <w:rsid w:val="00A01494"/>
    <w:rsid w:val="00A042AB"/>
    <w:rsid w:val="00A14A12"/>
    <w:rsid w:val="00A157BF"/>
    <w:rsid w:val="00A22FA9"/>
    <w:rsid w:val="00A24338"/>
    <w:rsid w:val="00A25024"/>
    <w:rsid w:val="00A340CF"/>
    <w:rsid w:val="00A344AB"/>
    <w:rsid w:val="00A35F8F"/>
    <w:rsid w:val="00A36295"/>
    <w:rsid w:val="00A37F10"/>
    <w:rsid w:val="00A409DB"/>
    <w:rsid w:val="00A41377"/>
    <w:rsid w:val="00A41C92"/>
    <w:rsid w:val="00A4263D"/>
    <w:rsid w:val="00A43365"/>
    <w:rsid w:val="00A43AAE"/>
    <w:rsid w:val="00A509B8"/>
    <w:rsid w:val="00A51253"/>
    <w:rsid w:val="00A52AB9"/>
    <w:rsid w:val="00A56CE7"/>
    <w:rsid w:val="00A60D6C"/>
    <w:rsid w:val="00A6210B"/>
    <w:rsid w:val="00A63520"/>
    <w:rsid w:val="00A635D2"/>
    <w:rsid w:val="00A64EBF"/>
    <w:rsid w:val="00A711E1"/>
    <w:rsid w:val="00A71200"/>
    <w:rsid w:val="00A7212E"/>
    <w:rsid w:val="00A7323A"/>
    <w:rsid w:val="00A73546"/>
    <w:rsid w:val="00A82027"/>
    <w:rsid w:val="00A82047"/>
    <w:rsid w:val="00A831B4"/>
    <w:rsid w:val="00A83319"/>
    <w:rsid w:val="00A84548"/>
    <w:rsid w:val="00A87BAF"/>
    <w:rsid w:val="00A97798"/>
    <w:rsid w:val="00AA31EE"/>
    <w:rsid w:val="00AA4BDC"/>
    <w:rsid w:val="00AA4C38"/>
    <w:rsid w:val="00AA501E"/>
    <w:rsid w:val="00AA5213"/>
    <w:rsid w:val="00AA65A6"/>
    <w:rsid w:val="00AB0537"/>
    <w:rsid w:val="00AB3263"/>
    <w:rsid w:val="00AB4125"/>
    <w:rsid w:val="00AB58AC"/>
    <w:rsid w:val="00AB7307"/>
    <w:rsid w:val="00AC1D8E"/>
    <w:rsid w:val="00AC48FA"/>
    <w:rsid w:val="00AD0240"/>
    <w:rsid w:val="00AD4137"/>
    <w:rsid w:val="00AD50BB"/>
    <w:rsid w:val="00AD7989"/>
    <w:rsid w:val="00AE3091"/>
    <w:rsid w:val="00AE6545"/>
    <w:rsid w:val="00AF0E47"/>
    <w:rsid w:val="00AF2D68"/>
    <w:rsid w:val="00B0135E"/>
    <w:rsid w:val="00B01A29"/>
    <w:rsid w:val="00B02852"/>
    <w:rsid w:val="00B03256"/>
    <w:rsid w:val="00B037BA"/>
    <w:rsid w:val="00B104D1"/>
    <w:rsid w:val="00B12D46"/>
    <w:rsid w:val="00B141D5"/>
    <w:rsid w:val="00B164B8"/>
    <w:rsid w:val="00B17E39"/>
    <w:rsid w:val="00B20139"/>
    <w:rsid w:val="00B2166C"/>
    <w:rsid w:val="00B218DA"/>
    <w:rsid w:val="00B2221E"/>
    <w:rsid w:val="00B23FE2"/>
    <w:rsid w:val="00B30FB0"/>
    <w:rsid w:val="00B31DCD"/>
    <w:rsid w:val="00B333FB"/>
    <w:rsid w:val="00B342FA"/>
    <w:rsid w:val="00B47AD6"/>
    <w:rsid w:val="00B500E4"/>
    <w:rsid w:val="00B53E8B"/>
    <w:rsid w:val="00B5775E"/>
    <w:rsid w:val="00B613AD"/>
    <w:rsid w:val="00B63414"/>
    <w:rsid w:val="00B66E1C"/>
    <w:rsid w:val="00B7552D"/>
    <w:rsid w:val="00B762C1"/>
    <w:rsid w:val="00B774D2"/>
    <w:rsid w:val="00B8015A"/>
    <w:rsid w:val="00B80382"/>
    <w:rsid w:val="00B82A57"/>
    <w:rsid w:val="00B83591"/>
    <w:rsid w:val="00B846AB"/>
    <w:rsid w:val="00B86A0A"/>
    <w:rsid w:val="00B923EA"/>
    <w:rsid w:val="00B927B3"/>
    <w:rsid w:val="00B92D58"/>
    <w:rsid w:val="00B97EF1"/>
    <w:rsid w:val="00BA053B"/>
    <w:rsid w:val="00BA1A08"/>
    <w:rsid w:val="00BA326E"/>
    <w:rsid w:val="00BA4163"/>
    <w:rsid w:val="00BA462B"/>
    <w:rsid w:val="00BB2E6F"/>
    <w:rsid w:val="00BB35AE"/>
    <w:rsid w:val="00BB65AC"/>
    <w:rsid w:val="00BB7C14"/>
    <w:rsid w:val="00BC03A1"/>
    <w:rsid w:val="00BC0D25"/>
    <w:rsid w:val="00BC16E3"/>
    <w:rsid w:val="00BC2ECA"/>
    <w:rsid w:val="00BC43C2"/>
    <w:rsid w:val="00BD2505"/>
    <w:rsid w:val="00BD6900"/>
    <w:rsid w:val="00BE592D"/>
    <w:rsid w:val="00BF1BE9"/>
    <w:rsid w:val="00BF2461"/>
    <w:rsid w:val="00BF52B0"/>
    <w:rsid w:val="00BF5697"/>
    <w:rsid w:val="00C0185C"/>
    <w:rsid w:val="00C0488B"/>
    <w:rsid w:val="00C0792B"/>
    <w:rsid w:val="00C14CCC"/>
    <w:rsid w:val="00C15917"/>
    <w:rsid w:val="00C1695E"/>
    <w:rsid w:val="00C16B96"/>
    <w:rsid w:val="00C224CA"/>
    <w:rsid w:val="00C22C1C"/>
    <w:rsid w:val="00C24813"/>
    <w:rsid w:val="00C33F2E"/>
    <w:rsid w:val="00C34936"/>
    <w:rsid w:val="00C34C14"/>
    <w:rsid w:val="00C355B9"/>
    <w:rsid w:val="00C3642E"/>
    <w:rsid w:val="00C37EF1"/>
    <w:rsid w:val="00C401C4"/>
    <w:rsid w:val="00C40BEF"/>
    <w:rsid w:val="00C41680"/>
    <w:rsid w:val="00C43326"/>
    <w:rsid w:val="00C53285"/>
    <w:rsid w:val="00C537C7"/>
    <w:rsid w:val="00C543C2"/>
    <w:rsid w:val="00C56596"/>
    <w:rsid w:val="00C56C34"/>
    <w:rsid w:val="00C60A25"/>
    <w:rsid w:val="00C61F65"/>
    <w:rsid w:val="00C70C0F"/>
    <w:rsid w:val="00C765C5"/>
    <w:rsid w:val="00C775CE"/>
    <w:rsid w:val="00C77647"/>
    <w:rsid w:val="00C77BE7"/>
    <w:rsid w:val="00C82479"/>
    <w:rsid w:val="00C824AB"/>
    <w:rsid w:val="00C867F0"/>
    <w:rsid w:val="00C904D4"/>
    <w:rsid w:val="00C90FDC"/>
    <w:rsid w:val="00C910D0"/>
    <w:rsid w:val="00C97BC2"/>
    <w:rsid w:val="00CA06D8"/>
    <w:rsid w:val="00CA345A"/>
    <w:rsid w:val="00CA5D4B"/>
    <w:rsid w:val="00CA6AD4"/>
    <w:rsid w:val="00CB1529"/>
    <w:rsid w:val="00CB49FF"/>
    <w:rsid w:val="00CC02CF"/>
    <w:rsid w:val="00CC086A"/>
    <w:rsid w:val="00CC5DB4"/>
    <w:rsid w:val="00CC6C70"/>
    <w:rsid w:val="00CD0E24"/>
    <w:rsid w:val="00CD0F66"/>
    <w:rsid w:val="00CD33E0"/>
    <w:rsid w:val="00CD364B"/>
    <w:rsid w:val="00CD68CC"/>
    <w:rsid w:val="00CE23B8"/>
    <w:rsid w:val="00CE284E"/>
    <w:rsid w:val="00CE50D7"/>
    <w:rsid w:val="00CE6546"/>
    <w:rsid w:val="00CF16FC"/>
    <w:rsid w:val="00CF1D7F"/>
    <w:rsid w:val="00CF4CBE"/>
    <w:rsid w:val="00D00344"/>
    <w:rsid w:val="00D01E7C"/>
    <w:rsid w:val="00D02A24"/>
    <w:rsid w:val="00D03FCB"/>
    <w:rsid w:val="00D06B4D"/>
    <w:rsid w:val="00D079DE"/>
    <w:rsid w:val="00D1754D"/>
    <w:rsid w:val="00D2223F"/>
    <w:rsid w:val="00D256F6"/>
    <w:rsid w:val="00D25993"/>
    <w:rsid w:val="00D274A4"/>
    <w:rsid w:val="00D277AF"/>
    <w:rsid w:val="00D306DD"/>
    <w:rsid w:val="00D31163"/>
    <w:rsid w:val="00D320B1"/>
    <w:rsid w:val="00D33AFD"/>
    <w:rsid w:val="00D34DF9"/>
    <w:rsid w:val="00D35011"/>
    <w:rsid w:val="00D36198"/>
    <w:rsid w:val="00D36489"/>
    <w:rsid w:val="00D369E9"/>
    <w:rsid w:val="00D4067C"/>
    <w:rsid w:val="00D42195"/>
    <w:rsid w:val="00D4528E"/>
    <w:rsid w:val="00D50704"/>
    <w:rsid w:val="00D50A9B"/>
    <w:rsid w:val="00D5159A"/>
    <w:rsid w:val="00D5760A"/>
    <w:rsid w:val="00D61410"/>
    <w:rsid w:val="00D645D7"/>
    <w:rsid w:val="00D647AC"/>
    <w:rsid w:val="00D77281"/>
    <w:rsid w:val="00D7791F"/>
    <w:rsid w:val="00D8077E"/>
    <w:rsid w:val="00D81417"/>
    <w:rsid w:val="00D8181D"/>
    <w:rsid w:val="00D81880"/>
    <w:rsid w:val="00D83845"/>
    <w:rsid w:val="00D909BF"/>
    <w:rsid w:val="00D90ADD"/>
    <w:rsid w:val="00D90D2E"/>
    <w:rsid w:val="00D937E2"/>
    <w:rsid w:val="00D968D8"/>
    <w:rsid w:val="00DA0E6A"/>
    <w:rsid w:val="00DA430C"/>
    <w:rsid w:val="00DA563D"/>
    <w:rsid w:val="00DA7277"/>
    <w:rsid w:val="00DB3627"/>
    <w:rsid w:val="00DB382E"/>
    <w:rsid w:val="00DB4724"/>
    <w:rsid w:val="00DB6944"/>
    <w:rsid w:val="00DC29DE"/>
    <w:rsid w:val="00DC307E"/>
    <w:rsid w:val="00DC4746"/>
    <w:rsid w:val="00DC5E2C"/>
    <w:rsid w:val="00DC5F04"/>
    <w:rsid w:val="00DD2046"/>
    <w:rsid w:val="00DD404D"/>
    <w:rsid w:val="00DD45BB"/>
    <w:rsid w:val="00DD5C8D"/>
    <w:rsid w:val="00DD6B45"/>
    <w:rsid w:val="00DD6D8C"/>
    <w:rsid w:val="00DE7149"/>
    <w:rsid w:val="00DF04A0"/>
    <w:rsid w:val="00DF0CC7"/>
    <w:rsid w:val="00DF737B"/>
    <w:rsid w:val="00E00A21"/>
    <w:rsid w:val="00E0314C"/>
    <w:rsid w:val="00E04B9E"/>
    <w:rsid w:val="00E11597"/>
    <w:rsid w:val="00E12163"/>
    <w:rsid w:val="00E1508F"/>
    <w:rsid w:val="00E1529F"/>
    <w:rsid w:val="00E209F1"/>
    <w:rsid w:val="00E261DF"/>
    <w:rsid w:val="00E26298"/>
    <w:rsid w:val="00E27240"/>
    <w:rsid w:val="00E27AAF"/>
    <w:rsid w:val="00E27EDD"/>
    <w:rsid w:val="00E30584"/>
    <w:rsid w:val="00E30DBC"/>
    <w:rsid w:val="00E310B9"/>
    <w:rsid w:val="00E33AB2"/>
    <w:rsid w:val="00E34527"/>
    <w:rsid w:val="00E34B85"/>
    <w:rsid w:val="00E37558"/>
    <w:rsid w:val="00E37E1B"/>
    <w:rsid w:val="00E422FA"/>
    <w:rsid w:val="00E46B26"/>
    <w:rsid w:val="00E562C0"/>
    <w:rsid w:val="00E570B6"/>
    <w:rsid w:val="00E5714B"/>
    <w:rsid w:val="00E57FAF"/>
    <w:rsid w:val="00E60B60"/>
    <w:rsid w:val="00E60FA0"/>
    <w:rsid w:val="00E6195B"/>
    <w:rsid w:val="00E6288F"/>
    <w:rsid w:val="00E65061"/>
    <w:rsid w:val="00E660A6"/>
    <w:rsid w:val="00E672D6"/>
    <w:rsid w:val="00E714B1"/>
    <w:rsid w:val="00E71C5C"/>
    <w:rsid w:val="00E75CEE"/>
    <w:rsid w:val="00E76024"/>
    <w:rsid w:val="00E770EA"/>
    <w:rsid w:val="00E825AC"/>
    <w:rsid w:val="00E856A2"/>
    <w:rsid w:val="00E87782"/>
    <w:rsid w:val="00E9208B"/>
    <w:rsid w:val="00E92815"/>
    <w:rsid w:val="00E95462"/>
    <w:rsid w:val="00E967AD"/>
    <w:rsid w:val="00E96884"/>
    <w:rsid w:val="00E9724D"/>
    <w:rsid w:val="00EA5435"/>
    <w:rsid w:val="00EA574A"/>
    <w:rsid w:val="00EA5F47"/>
    <w:rsid w:val="00EB1EE1"/>
    <w:rsid w:val="00EB455E"/>
    <w:rsid w:val="00EC6C40"/>
    <w:rsid w:val="00EC79DE"/>
    <w:rsid w:val="00ED1277"/>
    <w:rsid w:val="00ED1B04"/>
    <w:rsid w:val="00ED4ACE"/>
    <w:rsid w:val="00ED5384"/>
    <w:rsid w:val="00EE4C41"/>
    <w:rsid w:val="00EE4D35"/>
    <w:rsid w:val="00EE6D64"/>
    <w:rsid w:val="00EF2DA7"/>
    <w:rsid w:val="00EF5F3F"/>
    <w:rsid w:val="00EF7049"/>
    <w:rsid w:val="00F04509"/>
    <w:rsid w:val="00F05C06"/>
    <w:rsid w:val="00F1412B"/>
    <w:rsid w:val="00F1451C"/>
    <w:rsid w:val="00F14D6B"/>
    <w:rsid w:val="00F15BFA"/>
    <w:rsid w:val="00F17026"/>
    <w:rsid w:val="00F21D6B"/>
    <w:rsid w:val="00F30785"/>
    <w:rsid w:val="00F31019"/>
    <w:rsid w:val="00F34FA8"/>
    <w:rsid w:val="00F34FAB"/>
    <w:rsid w:val="00F435AA"/>
    <w:rsid w:val="00F51607"/>
    <w:rsid w:val="00F523E2"/>
    <w:rsid w:val="00F5738A"/>
    <w:rsid w:val="00F61246"/>
    <w:rsid w:val="00F612D4"/>
    <w:rsid w:val="00F63B97"/>
    <w:rsid w:val="00F64538"/>
    <w:rsid w:val="00F71234"/>
    <w:rsid w:val="00F72320"/>
    <w:rsid w:val="00F7347B"/>
    <w:rsid w:val="00F7389E"/>
    <w:rsid w:val="00F77F1D"/>
    <w:rsid w:val="00F87CCB"/>
    <w:rsid w:val="00F92E44"/>
    <w:rsid w:val="00F959BD"/>
    <w:rsid w:val="00FA3363"/>
    <w:rsid w:val="00FA48C7"/>
    <w:rsid w:val="00FB2136"/>
    <w:rsid w:val="00FB2C47"/>
    <w:rsid w:val="00FB51FB"/>
    <w:rsid w:val="00FB73C1"/>
    <w:rsid w:val="00FB7964"/>
    <w:rsid w:val="00FC1144"/>
    <w:rsid w:val="00FC3F66"/>
    <w:rsid w:val="00FC6384"/>
    <w:rsid w:val="00FD0A2A"/>
    <w:rsid w:val="00FE07FD"/>
    <w:rsid w:val="00FE4992"/>
    <w:rsid w:val="00FF20C1"/>
    <w:rsid w:val="00FF3FA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7735FA44-1F51-487E-9BE3-2C7B0C531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593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qFormat/>
    <w:rsid w:val="00065FC6"/>
    <w:pPr>
      <w:jc w:val="both"/>
    </w:pPr>
    <w:rPr>
      <w:rFonts w:eastAsia="Times New Roman" w:cs="Times New Roman"/>
      <w:b/>
      <w:bCs/>
      <w:szCs w:val="24"/>
    </w:rPr>
  </w:style>
  <w:style w:type="paragraph" w:customStyle="1" w:styleId="EndNoteBibliography">
    <w:name w:val="EndNote Bibliography"/>
    <w:basedOn w:val="Normal"/>
    <w:link w:val="EndNoteBibliographyChar"/>
    <w:rsid w:val="00704360"/>
    <w:pPr>
      <w:spacing w:line="240" w:lineRule="auto"/>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704360"/>
    <w:rPr>
      <w:rFonts w:ascii="Calibri" w:eastAsia="Calibri" w:hAnsi="Calibri" w:cs="Times New Roman"/>
      <w:noProof/>
    </w:rPr>
  </w:style>
  <w:style w:type="paragraph" w:customStyle="1" w:styleId="Default">
    <w:name w:val="Default"/>
    <w:rsid w:val="00BC43C2"/>
    <w:pPr>
      <w:autoSpaceDE w:val="0"/>
      <w:autoSpaceDN w:val="0"/>
      <w:adjustRightInd w:val="0"/>
      <w:spacing w:after="0" w:line="240" w:lineRule="auto"/>
    </w:pPr>
    <w:rPr>
      <w:rFonts w:ascii="Cambria" w:eastAsia="Times New Roman" w:hAnsi="Cambria" w:cs="Times New Roman"/>
      <w:sz w:val="20"/>
      <w:szCs w:val="20"/>
    </w:rPr>
  </w:style>
  <w:style w:type="character" w:customStyle="1" w:styleId="Heading1Char">
    <w:name w:val="Heading 1 Char"/>
    <w:basedOn w:val="DefaultParagraphFont"/>
    <w:link w:val="Heading1"/>
    <w:uiPriority w:val="9"/>
    <w:rsid w:val="0017593E"/>
    <w:rPr>
      <w:rFonts w:asciiTheme="majorHAnsi" w:eastAsiaTheme="majorEastAsia" w:hAnsiTheme="majorHAnsi" w:cstheme="majorBidi"/>
      <w:color w:val="365F91" w:themeColor="accent1" w:themeShade="BF"/>
      <w:sz w:val="32"/>
      <w:szCs w:val="32"/>
    </w:rPr>
  </w:style>
  <w:style w:type="character" w:customStyle="1" w:styleId="cit">
    <w:name w:val="cit"/>
    <w:basedOn w:val="DefaultParagraphFont"/>
    <w:rsid w:val="0017593E"/>
  </w:style>
  <w:style w:type="character" w:customStyle="1" w:styleId="fm-vol-iss-date">
    <w:name w:val="fm-vol-iss-date"/>
    <w:basedOn w:val="DefaultParagraphFont"/>
    <w:rsid w:val="0017593E"/>
  </w:style>
  <w:style w:type="character" w:customStyle="1" w:styleId="doi2">
    <w:name w:val="doi2"/>
    <w:basedOn w:val="DefaultParagraphFont"/>
    <w:rsid w:val="0017593E"/>
  </w:style>
  <w:style w:type="character" w:customStyle="1" w:styleId="fm-citation-ids-label">
    <w:name w:val="fm-citation-ids-label"/>
    <w:basedOn w:val="DefaultParagraphFont"/>
    <w:rsid w:val="0017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913455">
      <w:bodyDiv w:val="1"/>
      <w:marLeft w:val="0"/>
      <w:marRight w:val="0"/>
      <w:marTop w:val="0"/>
      <w:marBottom w:val="0"/>
      <w:divBdr>
        <w:top w:val="none" w:sz="0" w:space="0" w:color="auto"/>
        <w:left w:val="none" w:sz="0" w:space="0" w:color="auto"/>
        <w:bottom w:val="none" w:sz="0" w:space="0" w:color="auto"/>
        <w:right w:val="none" w:sz="0" w:space="0" w:color="auto"/>
      </w:divBdr>
    </w:div>
    <w:div w:id="464857421">
      <w:bodyDiv w:val="1"/>
      <w:marLeft w:val="0"/>
      <w:marRight w:val="0"/>
      <w:marTop w:val="0"/>
      <w:marBottom w:val="0"/>
      <w:divBdr>
        <w:top w:val="none" w:sz="0" w:space="0" w:color="auto"/>
        <w:left w:val="none" w:sz="0" w:space="0" w:color="auto"/>
        <w:bottom w:val="none" w:sz="0" w:space="0" w:color="auto"/>
        <w:right w:val="none" w:sz="0" w:space="0" w:color="auto"/>
      </w:divBdr>
    </w:div>
    <w:div w:id="478764757">
      <w:bodyDiv w:val="1"/>
      <w:marLeft w:val="0"/>
      <w:marRight w:val="0"/>
      <w:marTop w:val="0"/>
      <w:marBottom w:val="0"/>
      <w:divBdr>
        <w:top w:val="none" w:sz="0" w:space="0" w:color="auto"/>
        <w:left w:val="none" w:sz="0" w:space="0" w:color="auto"/>
        <w:bottom w:val="none" w:sz="0" w:space="0" w:color="auto"/>
        <w:right w:val="none" w:sz="0" w:space="0" w:color="auto"/>
      </w:divBdr>
      <w:divsChild>
        <w:div w:id="1926567818">
          <w:marLeft w:val="0"/>
          <w:marRight w:val="0"/>
          <w:marTop w:val="0"/>
          <w:marBottom w:val="0"/>
          <w:divBdr>
            <w:top w:val="none" w:sz="0" w:space="0" w:color="auto"/>
            <w:left w:val="none" w:sz="0" w:space="0" w:color="auto"/>
            <w:bottom w:val="none" w:sz="0" w:space="0" w:color="auto"/>
            <w:right w:val="none" w:sz="0" w:space="0" w:color="auto"/>
          </w:divBdr>
          <w:divsChild>
            <w:div w:id="1350445202">
              <w:marLeft w:val="0"/>
              <w:marRight w:val="0"/>
              <w:marTop w:val="0"/>
              <w:marBottom w:val="0"/>
              <w:divBdr>
                <w:top w:val="none" w:sz="0" w:space="0" w:color="auto"/>
                <w:left w:val="none" w:sz="0" w:space="0" w:color="auto"/>
                <w:bottom w:val="none" w:sz="0" w:space="0" w:color="auto"/>
                <w:right w:val="none" w:sz="0" w:space="0" w:color="auto"/>
              </w:divBdr>
              <w:divsChild>
                <w:div w:id="870998999">
                  <w:marLeft w:val="0"/>
                  <w:marRight w:val="0"/>
                  <w:marTop w:val="0"/>
                  <w:marBottom w:val="0"/>
                  <w:divBdr>
                    <w:top w:val="none" w:sz="0" w:space="0" w:color="auto"/>
                    <w:left w:val="none" w:sz="0" w:space="0" w:color="auto"/>
                    <w:bottom w:val="none" w:sz="0" w:space="0" w:color="auto"/>
                    <w:right w:val="none" w:sz="0" w:space="0" w:color="auto"/>
                  </w:divBdr>
                  <w:divsChild>
                    <w:div w:id="1612978442">
                      <w:marLeft w:val="0"/>
                      <w:marRight w:val="0"/>
                      <w:marTop w:val="0"/>
                      <w:marBottom w:val="0"/>
                      <w:divBdr>
                        <w:top w:val="none" w:sz="0" w:space="0" w:color="auto"/>
                        <w:left w:val="none" w:sz="0" w:space="0" w:color="auto"/>
                        <w:bottom w:val="none" w:sz="0" w:space="0" w:color="auto"/>
                        <w:right w:val="none" w:sz="0" w:space="0" w:color="auto"/>
                      </w:divBdr>
                      <w:divsChild>
                        <w:div w:id="653607606">
                          <w:marLeft w:val="0"/>
                          <w:marRight w:val="0"/>
                          <w:marTop w:val="0"/>
                          <w:marBottom w:val="0"/>
                          <w:divBdr>
                            <w:top w:val="none" w:sz="0" w:space="0" w:color="auto"/>
                            <w:left w:val="none" w:sz="0" w:space="0" w:color="auto"/>
                            <w:bottom w:val="none" w:sz="0" w:space="0" w:color="auto"/>
                            <w:right w:val="none" w:sz="0" w:space="0" w:color="auto"/>
                          </w:divBdr>
                          <w:divsChild>
                            <w:div w:id="1362970573">
                              <w:marLeft w:val="0"/>
                              <w:marRight w:val="0"/>
                              <w:marTop w:val="0"/>
                              <w:marBottom w:val="0"/>
                              <w:divBdr>
                                <w:top w:val="none" w:sz="0" w:space="0" w:color="auto"/>
                                <w:left w:val="none" w:sz="0" w:space="0" w:color="auto"/>
                                <w:bottom w:val="none" w:sz="0" w:space="0" w:color="auto"/>
                                <w:right w:val="none" w:sz="0" w:space="0" w:color="auto"/>
                              </w:divBdr>
                              <w:divsChild>
                                <w:div w:id="1114326647">
                                  <w:marLeft w:val="0"/>
                                  <w:marRight w:val="0"/>
                                  <w:marTop w:val="0"/>
                                  <w:marBottom w:val="0"/>
                                  <w:divBdr>
                                    <w:top w:val="none" w:sz="0" w:space="0" w:color="auto"/>
                                    <w:left w:val="none" w:sz="0" w:space="0" w:color="auto"/>
                                    <w:bottom w:val="none" w:sz="0" w:space="0" w:color="auto"/>
                                    <w:right w:val="none" w:sz="0" w:space="0" w:color="auto"/>
                                  </w:divBdr>
                                  <w:divsChild>
                                    <w:div w:id="1924096736">
                                      <w:marLeft w:val="0"/>
                                      <w:marRight w:val="0"/>
                                      <w:marTop w:val="0"/>
                                      <w:marBottom w:val="0"/>
                                      <w:divBdr>
                                        <w:top w:val="none" w:sz="0" w:space="0" w:color="auto"/>
                                        <w:left w:val="none" w:sz="0" w:space="0" w:color="auto"/>
                                        <w:bottom w:val="none" w:sz="0" w:space="0" w:color="auto"/>
                                        <w:right w:val="none" w:sz="0" w:space="0" w:color="auto"/>
                                      </w:divBdr>
                                      <w:divsChild>
                                        <w:div w:id="1501382904">
                                          <w:marLeft w:val="0"/>
                                          <w:marRight w:val="0"/>
                                          <w:marTop w:val="0"/>
                                          <w:marBottom w:val="0"/>
                                          <w:divBdr>
                                            <w:top w:val="none" w:sz="0" w:space="0" w:color="auto"/>
                                            <w:left w:val="none" w:sz="0" w:space="0" w:color="auto"/>
                                            <w:bottom w:val="none" w:sz="0" w:space="0" w:color="auto"/>
                                            <w:right w:val="none" w:sz="0" w:space="0" w:color="auto"/>
                                          </w:divBdr>
                                          <w:divsChild>
                                            <w:div w:id="1171406334">
                                              <w:marLeft w:val="0"/>
                                              <w:marRight w:val="0"/>
                                              <w:marTop w:val="0"/>
                                              <w:marBottom w:val="0"/>
                                              <w:divBdr>
                                                <w:top w:val="none" w:sz="0" w:space="0" w:color="auto"/>
                                                <w:left w:val="none" w:sz="0" w:space="0" w:color="auto"/>
                                                <w:bottom w:val="none" w:sz="0" w:space="0" w:color="auto"/>
                                                <w:right w:val="none" w:sz="0" w:space="0" w:color="auto"/>
                                              </w:divBdr>
                                              <w:divsChild>
                                                <w:div w:id="1392656150">
                                                  <w:marLeft w:val="0"/>
                                                  <w:marRight w:val="0"/>
                                                  <w:marTop w:val="0"/>
                                                  <w:marBottom w:val="0"/>
                                                  <w:divBdr>
                                                    <w:top w:val="none" w:sz="0" w:space="0" w:color="auto"/>
                                                    <w:left w:val="none" w:sz="0" w:space="0" w:color="auto"/>
                                                    <w:bottom w:val="none" w:sz="0" w:space="0" w:color="auto"/>
                                                    <w:right w:val="none" w:sz="0" w:space="0" w:color="auto"/>
                                                  </w:divBdr>
                                                  <w:divsChild>
                                                    <w:div w:id="261300258">
                                                      <w:marLeft w:val="0"/>
                                                      <w:marRight w:val="0"/>
                                                      <w:marTop w:val="0"/>
                                                      <w:marBottom w:val="0"/>
                                                      <w:divBdr>
                                                        <w:top w:val="none" w:sz="0" w:space="0" w:color="auto"/>
                                                        <w:left w:val="none" w:sz="0" w:space="0" w:color="auto"/>
                                                        <w:bottom w:val="none" w:sz="0" w:space="0" w:color="auto"/>
                                                        <w:right w:val="none" w:sz="0" w:space="0" w:color="auto"/>
                                                      </w:divBdr>
                                                      <w:divsChild>
                                                        <w:div w:id="602373573">
                                                          <w:marLeft w:val="0"/>
                                                          <w:marRight w:val="0"/>
                                                          <w:marTop w:val="0"/>
                                                          <w:marBottom w:val="0"/>
                                                          <w:divBdr>
                                                            <w:top w:val="none" w:sz="0" w:space="0" w:color="auto"/>
                                                            <w:left w:val="none" w:sz="0" w:space="0" w:color="auto"/>
                                                            <w:bottom w:val="none" w:sz="0" w:space="0" w:color="auto"/>
                                                            <w:right w:val="none" w:sz="0" w:space="0" w:color="auto"/>
                                                          </w:divBdr>
                                                          <w:divsChild>
                                                            <w:div w:id="701519262">
                                                              <w:marLeft w:val="0"/>
                                                              <w:marRight w:val="0"/>
                                                              <w:marTop w:val="0"/>
                                                              <w:marBottom w:val="0"/>
                                                              <w:divBdr>
                                                                <w:top w:val="none" w:sz="0" w:space="0" w:color="auto"/>
                                                                <w:left w:val="none" w:sz="0" w:space="0" w:color="auto"/>
                                                                <w:bottom w:val="none" w:sz="0" w:space="0" w:color="auto"/>
                                                                <w:right w:val="none" w:sz="0" w:space="0" w:color="auto"/>
                                                              </w:divBdr>
                                                              <w:divsChild>
                                                                <w:div w:id="1863980320">
                                                                  <w:marLeft w:val="0"/>
                                                                  <w:marRight w:val="0"/>
                                                                  <w:marTop w:val="0"/>
                                                                  <w:marBottom w:val="0"/>
                                                                  <w:divBdr>
                                                                    <w:top w:val="none" w:sz="0" w:space="0" w:color="auto"/>
                                                                    <w:left w:val="none" w:sz="0" w:space="0" w:color="auto"/>
                                                                    <w:bottom w:val="none" w:sz="0" w:space="0" w:color="auto"/>
                                                                    <w:right w:val="none" w:sz="0" w:space="0" w:color="auto"/>
                                                                  </w:divBdr>
                                                                </w:div>
                                                                <w:div w:id="20893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97227">
                                                          <w:marLeft w:val="0"/>
                                                          <w:marRight w:val="0"/>
                                                          <w:marTop w:val="0"/>
                                                          <w:marBottom w:val="0"/>
                                                          <w:divBdr>
                                                            <w:top w:val="none" w:sz="0" w:space="0" w:color="auto"/>
                                                            <w:left w:val="none" w:sz="0" w:space="0" w:color="auto"/>
                                                            <w:bottom w:val="none" w:sz="0" w:space="0" w:color="auto"/>
                                                            <w:right w:val="none" w:sz="0" w:space="0" w:color="auto"/>
                                                          </w:divBdr>
                                                          <w:divsChild>
                                                            <w:div w:id="1180313117">
                                                              <w:marLeft w:val="0"/>
                                                              <w:marRight w:val="0"/>
                                                              <w:marTop w:val="0"/>
                                                              <w:marBottom w:val="0"/>
                                                              <w:divBdr>
                                                                <w:top w:val="none" w:sz="0" w:space="0" w:color="auto"/>
                                                                <w:left w:val="none" w:sz="0" w:space="0" w:color="auto"/>
                                                                <w:bottom w:val="none" w:sz="0" w:space="0" w:color="auto"/>
                                                                <w:right w:val="none" w:sz="0" w:space="0" w:color="auto"/>
                                                              </w:divBdr>
                                                              <w:divsChild>
                                                                <w:div w:id="1016691153">
                                                                  <w:marLeft w:val="0"/>
                                                                  <w:marRight w:val="0"/>
                                                                  <w:marTop w:val="0"/>
                                                                  <w:marBottom w:val="0"/>
                                                                  <w:divBdr>
                                                                    <w:top w:val="none" w:sz="0" w:space="0" w:color="auto"/>
                                                                    <w:left w:val="none" w:sz="0" w:space="0" w:color="auto"/>
                                                                    <w:bottom w:val="none" w:sz="0" w:space="0" w:color="auto"/>
                                                                    <w:right w:val="none" w:sz="0" w:space="0" w:color="auto"/>
                                                                  </w:divBdr>
                                                                </w:div>
                                                                <w:div w:id="16261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9241305">
      <w:bodyDiv w:val="1"/>
      <w:marLeft w:val="0"/>
      <w:marRight w:val="0"/>
      <w:marTop w:val="0"/>
      <w:marBottom w:val="0"/>
      <w:divBdr>
        <w:top w:val="none" w:sz="0" w:space="0" w:color="auto"/>
        <w:left w:val="none" w:sz="0" w:space="0" w:color="auto"/>
        <w:bottom w:val="none" w:sz="0" w:space="0" w:color="auto"/>
        <w:right w:val="none" w:sz="0" w:space="0" w:color="auto"/>
      </w:divBdr>
    </w:div>
    <w:div w:id="588464382">
      <w:bodyDiv w:val="1"/>
      <w:marLeft w:val="0"/>
      <w:marRight w:val="0"/>
      <w:marTop w:val="0"/>
      <w:marBottom w:val="0"/>
      <w:divBdr>
        <w:top w:val="none" w:sz="0" w:space="0" w:color="auto"/>
        <w:left w:val="none" w:sz="0" w:space="0" w:color="auto"/>
        <w:bottom w:val="none" w:sz="0" w:space="0" w:color="auto"/>
        <w:right w:val="none" w:sz="0" w:space="0" w:color="auto"/>
      </w:divBdr>
    </w:div>
    <w:div w:id="837844975">
      <w:bodyDiv w:val="1"/>
      <w:marLeft w:val="0"/>
      <w:marRight w:val="0"/>
      <w:marTop w:val="0"/>
      <w:marBottom w:val="0"/>
      <w:divBdr>
        <w:top w:val="none" w:sz="0" w:space="0" w:color="auto"/>
        <w:left w:val="none" w:sz="0" w:space="0" w:color="auto"/>
        <w:bottom w:val="none" w:sz="0" w:space="0" w:color="auto"/>
        <w:right w:val="none" w:sz="0" w:space="0" w:color="auto"/>
      </w:divBdr>
    </w:div>
    <w:div w:id="925773415">
      <w:bodyDiv w:val="1"/>
      <w:marLeft w:val="0"/>
      <w:marRight w:val="0"/>
      <w:marTop w:val="0"/>
      <w:marBottom w:val="0"/>
      <w:divBdr>
        <w:top w:val="none" w:sz="0" w:space="0" w:color="auto"/>
        <w:left w:val="none" w:sz="0" w:space="0" w:color="auto"/>
        <w:bottom w:val="none" w:sz="0" w:space="0" w:color="auto"/>
        <w:right w:val="none" w:sz="0" w:space="0" w:color="auto"/>
      </w:divBdr>
    </w:div>
    <w:div w:id="130770981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66277635">
      <w:bodyDiv w:val="1"/>
      <w:marLeft w:val="0"/>
      <w:marRight w:val="0"/>
      <w:marTop w:val="0"/>
      <w:marBottom w:val="0"/>
      <w:divBdr>
        <w:top w:val="none" w:sz="0" w:space="0" w:color="auto"/>
        <w:left w:val="none" w:sz="0" w:space="0" w:color="auto"/>
        <w:bottom w:val="none" w:sz="0" w:space="0" w:color="auto"/>
        <w:right w:val="none" w:sz="0" w:space="0" w:color="auto"/>
      </w:divBdr>
    </w:div>
    <w:div w:id="1684087208">
      <w:bodyDiv w:val="1"/>
      <w:marLeft w:val="0"/>
      <w:marRight w:val="0"/>
      <w:marTop w:val="0"/>
      <w:marBottom w:val="0"/>
      <w:divBdr>
        <w:top w:val="none" w:sz="0" w:space="0" w:color="auto"/>
        <w:left w:val="none" w:sz="0" w:space="0" w:color="auto"/>
        <w:bottom w:val="none" w:sz="0" w:space="0" w:color="auto"/>
        <w:right w:val="none" w:sz="0" w:space="0" w:color="auto"/>
      </w:divBdr>
    </w:div>
    <w:div w:id="172320826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8445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cid:image002.png@01D5A075.C3A4C17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e0ddc428-f58a-48cb-b189-c84eca8d4aa3"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core1\CMS\Hospital%20Base%20Period%202019.2020\PRO-PM%20Reeval\Analyses\NQF%20Analyses%2011.04.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Figure 5. Calibration</a:t>
            </a:r>
            <a:r>
              <a:rPr lang="en-US" sz="1400" baseline="0"/>
              <a:t> Deciles (Development Dataset)</a:t>
            </a:r>
            <a:endParaRPr lang="en-US" sz="1400"/>
          </a:p>
        </c:rich>
      </c:tx>
      <c:overlay val="0"/>
    </c:title>
    <c:autoTitleDeleted val="0"/>
    <c:plotArea>
      <c:layout>
        <c:manualLayout>
          <c:layoutTarget val="inner"/>
          <c:xMode val="edge"/>
          <c:yMode val="edge"/>
          <c:x val="0.15094984748528056"/>
          <c:y val="0.163402618150992"/>
          <c:w val="0.80627295633496476"/>
          <c:h val="0.70226276063318172"/>
        </c:manualLayout>
      </c:layout>
      <c:lineChart>
        <c:grouping val="standard"/>
        <c:varyColors val="0"/>
        <c:ser>
          <c:idx val="0"/>
          <c:order val="0"/>
          <c:tx>
            <c:strRef>
              <c:f>Calibration!$F$5</c:f>
              <c:strCache>
                <c:ptCount val="1"/>
                <c:pt idx="0">
                  <c:v>Observed</c:v>
                </c:pt>
              </c:strCache>
            </c:strRef>
          </c:tx>
          <c:val>
            <c:numRef>
              <c:f>Calibration!$F$10:$F$19</c:f>
              <c:numCache>
                <c:formatCode>0.0000</c:formatCode>
                <c:ptCount val="10"/>
                <c:pt idx="0">
                  <c:v>0.2384106</c:v>
                </c:pt>
                <c:pt idx="1">
                  <c:v>0.44493389999999999</c:v>
                </c:pt>
                <c:pt idx="2">
                  <c:v>0.60132160000000001</c:v>
                </c:pt>
                <c:pt idx="3">
                  <c:v>0.6622517</c:v>
                </c:pt>
                <c:pt idx="4">
                  <c:v>0.66740089999999996</c:v>
                </c:pt>
                <c:pt idx="5">
                  <c:v>0.68061669999999996</c:v>
                </c:pt>
                <c:pt idx="6">
                  <c:v>0.70640179999999997</c:v>
                </c:pt>
                <c:pt idx="7">
                  <c:v>0.76431720000000003</c:v>
                </c:pt>
                <c:pt idx="8">
                  <c:v>0.78414099999999998</c:v>
                </c:pt>
                <c:pt idx="9">
                  <c:v>0.80573950000000005</c:v>
                </c:pt>
              </c:numCache>
            </c:numRef>
          </c:val>
          <c:smooth val="0"/>
          <c:extLst>
            <c:ext xmlns:c16="http://schemas.microsoft.com/office/drawing/2014/chart" uri="{C3380CC4-5D6E-409C-BE32-E72D297353CC}">
              <c16:uniqueId val="{00000000-15B6-494D-8D70-28E9AF1D2767}"/>
            </c:ext>
          </c:extLst>
        </c:ser>
        <c:ser>
          <c:idx val="1"/>
          <c:order val="1"/>
          <c:tx>
            <c:strRef>
              <c:f>Calibration!$G$5</c:f>
              <c:strCache>
                <c:ptCount val="1"/>
                <c:pt idx="0">
                  <c:v>Predicted</c:v>
                </c:pt>
              </c:strCache>
            </c:strRef>
          </c:tx>
          <c:val>
            <c:numRef>
              <c:f>Calibration!$G$10:$G$19</c:f>
              <c:numCache>
                <c:formatCode>0.0000</c:formatCode>
                <c:ptCount val="10"/>
                <c:pt idx="0">
                  <c:v>0.30933680000000002</c:v>
                </c:pt>
                <c:pt idx="1">
                  <c:v>0.46234760000000003</c:v>
                </c:pt>
                <c:pt idx="2">
                  <c:v>0.58646980000000004</c:v>
                </c:pt>
                <c:pt idx="3">
                  <c:v>0.64506529999999995</c:v>
                </c:pt>
                <c:pt idx="4">
                  <c:v>0.6796624</c:v>
                </c:pt>
                <c:pt idx="5">
                  <c:v>0.70628679999999999</c:v>
                </c:pt>
                <c:pt idx="6">
                  <c:v>0.7297439</c:v>
                </c:pt>
                <c:pt idx="7">
                  <c:v>0.75310730000000004</c:v>
                </c:pt>
                <c:pt idx="8">
                  <c:v>0.78504430000000003</c:v>
                </c:pt>
                <c:pt idx="9">
                  <c:v>0.83948040000000002</c:v>
                </c:pt>
              </c:numCache>
            </c:numRef>
          </c:val>
          <c:smooth val="0"/>
          <c:extLst>
            <c:ext xmlns:c16="http://schemas.microsoft.com/office/drawing/2014/chart" uri="{C3380CC4-5D6E-409C-BE32-E72D297353CC}">
              <c16:uniqueId val="{00000001-15B6-494D-8D70-28E9AF1D2767}"/>
            </c:ext>
          </c:extLst>
        </c:ser>
        <c:dLbls>
          <c:showLegendKey val="0"/>
          <c:showVal val="0"/>
          <c:showCatName val="0"/>
          <c:showSerName val="0"/>
          <c:showPercent val="0"/>
          <c:showBubbleSize val="0"/>
        </c:dLbls>
        <c:marker val="1"/>
        <c:smooth val="0"/>
        <c:axId val="638539136"/>
        <c:axId val="638538744"/>
      </c:lineChart>
      <c:catAx>
        <c:axId val="638539136"/>
        <c:scaling>
          <c:orientation val="minMax"/>
        </c:scaling>
        <c:delete val="0"/>
        <c:axPos val="b"/>
        <c:numFmt formatCode="General" sourceLinked="1"/>
        <c:majorTickMark val="out"/>
        <c:minorTickMark val="none"/>
        <c:tickLblPos val="nextTo"/>
        <c:crossAx val="638538744"/>
        <c:crosses val="autoZero"/>
        <c:auto val="1"/>
        <c:lblAlgn val="ctr"/>
        <c:lblOffset val="100"/>
        <c:noMultiLvlLbl val="0"/>
      </c:catAx>
      <c:valAx>
        <c:axId val="638538744"/>
        <c:scaling>
          <c:orientation val="minMax"/>
        </c:scaling>
        <c:delete val="0"/>
        <c:axPos val="l"/>
        <c:majorGridlines/>
        <c:numFmt formatCode="0.00" sourceLinked="0"/>
        <c:majorTickMark val="out"/>
        <c:minorTickMark val="none"/>
        <c:tickLblPos val="nextTo"/>
        <c:crossAx val="638539136"/>
        <c:crosses val="autoZero"/>
        <c:crossBetween val="between"/>
      </c:valAx>
    </c:plotArea>
    <c:legend>
      <c:legendPos val="r"/>
      <c:layout>
        <c:manualLayout>
          <c:xMode val="edge"/>
          <c:yMode val="edge"/>
          <c:x val="0.16815587444725014"/>
          <c:y val="0.24145543031610844"/>
          <c:w val="0.14860576094610969"/>
          <c:h val="0.14058630426298754"/>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Figure 6: Calibration Deciles</a:t>
            </a:r>
            <a:r>
              <a:rPr lang="en-US" sz="1400" baseline="0"/>
              <a:t> (Validation Dataset)</a:t>
            </a:r>
            <a:endParaRPr lang="en-US" sz="1400"/>
          </a:p>
        </c:rich>
      </c:tx>
      <c:overlay val="0"/>
    </c:title>
    <c:autoTitleDeleted val="0"/>
    <c:plotArea>
      <c:layout>
        <c:manualLayout>
          <c:layoutTarget val="inner"/>
          <c:xMode val="edge"/>
          <c:yMode val="edge"/>
          <c:x val="0.15094984748528056"/>
          <c:y val="0.163402618150992"/>
          <c:w val="0.80627295633496476"/>
          <c:h val="0.70226276063318172"/>
        </c:manualLayout>
      </c:layout>
      <c:lineChart>
        <c:grouping val="standard"/>
        <c:varyColors val="0"/>
        <c:ser>
          <c:idx val="0"/>
          <c:order val="0"/>
          <c:tx>
            <c:strRef>
              <c:f>Calibration!$C$5</c:f>
              <c:strCache>
                <c:ptCount val="1"/>
                <c:pt idx="0">
                  <c:v>Observed</c:v>
                </c:pt>
              </c:strCache>
            </c:strRef>
          </c:tx>
          <c:val>
            <c:numRef>
              <c:f>Calibration!$C$10:$C$19</c:f>
              <c:numCache>
                <c:formatCode>0.0000</c:formatCode>
                <c:ptCount val="10"/>
                <c:pt idx="0">
                  <c:v>0.25854379999999999</c:v>
                </c:pt>
                <c:pt idx="1">
                  <c:v>0.5052006</c:v>
                </c:pt>
                <c:pt idx="2">
                  <c:v>0.59495549999999997</c:v>
                </c:pt>
                <c:pt idx="3">
                  <c:v>0.67310550000000002</c:v>
                </c:pt>
                <c:pt idx="4">
                  <c:v>0.66765580000000002</c:v>
                </c:pt>
                <c:pt idx="5">
                  <c:v>0.71173850000000005</c:v>
                </c:pt>
                <c:pt idx="6">
                  <c:v>0.71216619999999997</c:v>
                </c:pt>
                <c:pt idx="7">
                  <c:v>0.7369985</c:v>
                </c:pt>
                <c:pt idx="8">
                  <c:v>0.78931750000000001</c:v>
                </c:pt>
                <c:pt idx="9">
                  <c:v>0.81575039999999999</c:v>
                </c:pt>
              </c:numCache>
            </c:numRef>
          </c:val>
          <c:smooth val="0"/>
          <c:extLst>
            <c:ext xmlns:c16="http://schemas.microsoft.com/office/drawing/2014/chart" uri="{C3380CC4-5D6E-409C-BE32-E72D297353CC}">
              <c16:uniqueId val="{00000000-F851-4F4D-AB30-522D28D97E71}"/>
            </c:ext>
          </c:extLst>
        </c:ser>
        <c:ser>
          <c:idx val="1"/>
          <c:order val="1"/>
          <c:tx>
            <c:strRef>
              <c:f>Calibration!$D$5</c:f>
              <c:strCache>
                <c:ptCount val="1"/>
                <c:pt idx="0">
                  <c:v>Predicted</c:v>
                </c:pt>
              </c:strCache>
            </c:strRef>
          </c:tx>
          <c:val>
            <c:numRef>
              <c:f>Calibration!$D$10:$D$19</c:f>
              <c:numCache>
                <c:formatCode>0.0000</c:formatCode>
                <c:ptCount val="10"/>
                <c:pt idx="0">
                  <c:v>0.31251020000000002</c:v>
                </c:pt>
                <c:pt idx="1">
                  <c:v>0.46498869999999998</c:v>
                </c:pt>
                <c:pt idx="2">
                  <c:v>0.58109829999999996</c:v>
                </c:pt>
                <c:pt idx="3">
                  <c:v>0.64023669999999999</c:v>
                </c:pt>
                <c:pt idx="4">
                  <c:v>0.67704560000000003</c:v>
                </c:pt>
                <c:pt idx="5">
                  <c:v>0.70401380000000002</c:v>
                </c:pt>
                <c:pt idx="6">
                  <c:v>0.72784000000000004</c:v>
                </c:pt>
                <c:pt idx="7">
                  <c:v>0.75198370000000003</c:v>
                </c:pt>
                <c:pt idx="8">
                  <c:v>0.78167960000000003</c:v>
                </c:pt>
                <c:pt idx="9">
                  <c:v>0.83453060000000001</c:v>
                </c:pt>
              </c:numCache>
            </c:numRef>
          </c:val>
          <c:smooth val="0"/>
          <c:extLst>
            <c:ext xmlns:c16="http://schemas.microsoft.com/office/drawing/2014/chart" uri="{C3380CC4-5D6E-409C-BE32-E72D297353CC}">
              <c16:uniqueId val="{00000001-F851-4F4D-AB30-522D28D97E71}"/>
            </c:ext>
          </c:extLst>
        </c:ser>
        <c:dLbls>
          <c:showLegendKey val="0"/>
          <c:showVal val="0"/>
          <c:showCatName val="0"/>
          <c:showSerName val="0"/>
          <c:showPercent val="0"/>
          <c:showBubbleSize val="0"/>
        </c:dLbls>
        <c:marker val="1"/>
        <c:smooth val="0"/>
        <c:axId val="638537568"/>
        <c:axId val="638539528"/>
      </c:lineChart>
      <c:catAx>
        <c:axId val="638537568"/>
        <c:scaling>
          <c:orientation val="minMax"/>
        </c:scaling>
        <c:delete val="0"/>
        <c:axPos val="b"/>
        <c:majorTickMark val="out"/>
        <c:minorTickMark val="none"/>
        <c:tickLblPos val="nextTo"/>
        <c:crossAx val="638539528"/>
        <c:crosses val="autoZero"/>
        <c:auto val="1"/>
        <c:lblAlgn val="ctr"/>
        <c:lblOffset val="100"/>
        <c:noMultiLvlLbl val="0"/>
      </c:catAx>
      <c:valAx>
        <c:axId val="638539528"/>
        <c:scaling>
          <c:orientation val="minMax"/>
        </c:scaling>
        <c:delete val="0"/>
        <c:axPos val="l"/>
        <c:majorGridlines/>
        <c:numFmt formatCode="0.00" sourceLinked="0"/>
        <c:majorTickMark val="out"/>
        <c:minorTickMark val="none"/>
        <c:tickLblPos val="nextTo"/>
        <c:crossAx val="638537568"/>
        <c:crosses val="autoZero"/>
        <c:crossBetween val="between"/>
      </c:valAx>
      <c:spPr>
        <a:ln w="6350">
          <a:solidFill>
            <a:schemeClr val="tx1"/>
          </a:solidFill>
        </a:ln>
      </c:spPr>
    </c:plotArea>
    <c:legend>
      <c:legendPos val="r"/>
      <c:layout>
        <c:manualLayout>
          <c:xMode val="edge"/>
          <c:yMode val="edge"/>
          <c:x val="0.16815587444725014"/>
          <c:y val="0.2535927291003518"/>
          <c:w val="0.14860576094610969"/>
          <c:h val="0.1282476126654381"/>
        </c:manualLayout>
      </c:layout>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qvltsAdvPTimes">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3FAF"/>
    <w:rsid w:val="00090975"/>
    <w:rsid w:val="00095DCF"/>
    <w:rsid w:val="000B644F"/>
    <w:rsid w:val="000E00E6"/>
    <w:rsid w:val="000E2DA0"/>
    <w:rsid w:val="00127222"/>
    <w:rsid w:val="001316E9"/>
    <w:rsid w:val="00151E28"/>
    <w:rsid w:val="00152CC4"/>
    <w:rsid w:val="00173317"/>
    <w:rsid w:val="001736D7"/>
    <w:rsid w:val="00190AF4"/>
    <w:rsid w:val="00223FA3"/>
    <w:rsid w:val="00290828"/>
    <w:rsid w:val="002A288F"/>
    <w:rsid w:val="002C65A7"/>
    <w:rsid w:val="002F052A"/>
    <w:rsid w:val="00323D04"/>
    <w:rsid w:val="00350176"/>
    <w:rsid w:val="003840F0"/>
    <w:rsid w:val="003B576A"/>
    <w:rsid w:val="003F67F1"/>
    <w:rsid w:val="00437537"/>
    <w:rsid w:val="004407F7"/>
    <w:rsid w:val="004D785E"/>
    <w:rsid w:val="004E2577"/>
    <w:rsid w:val="00513FC9"/>
    <w:rsid w:val="005209E2"/>
    <w:rsid w:val="0053654E"/>
    <w:rsid w:val="00557267"/>
    <w:rsid w:val="00610196"/>
    <w:rsid w:val="00632A7E"/>
    <w:rsid w:val="00632AB6"/>
    <w:rsid w:val="00662186"/>
    <w:rsid w:val="006658B6"/>
    <w:rsid w:val="006C118D"/>
    <w:rsid w:val="00730B33"/>
    <w:rsid w:val="00731036"/>
    <w:rsid w:val="00772B2A"/>
    <w:rsid w:val="007B3530"/>
    <w:rsid w:val="007C672A"/>
    <w:rsid w:val="007D4368"/>
    <w:rsid w:val="00822666"/>
    <w:rsid w:val="00823ECC"/>
    <w:rsid w:val="00826796"/>
    <w:rsid w:val="00826C47"/>
    <w:rsid w:val="00862AD9"/>
    <w:rsid w:val="00866C97"/>
    <w:rsid w:val="00887DF5"/>
    <w:rsid w:val="008C4ABE"/>
    <w:rsid w:val="009017AE"/>
    <w:rsid w:val="00951C7F"/>
    <w:rsid w:val="00966A0A"/>
    <w:rsid w:val="009759F8"/>
    <w:rsid w:val="009C542D"/>
    <w:rsid w:val="00A01A18"/>
    <w:rsid w:val="00A17A31"/>
    <w:rsid w:val="00A319CF"/>
    <w:rsid w:val="00A95183"/>
    <w:rsid w:val="00AB4AF7"/>
    <w:rsid w:val="00AD7C4F"/>
    <w:rsid w:val="00AE3FED"/>
    <w:rsid w:val="00B04A96"/>
    <w:rsid w:val="00B178C3"/>
    <w:rsid w:val="00B445F5"/>
    <w:rsid w:val="00BB4457"/>
    <w:rsid w:val="00BD40CB"/>
    <w:rsid w:val="00BE006A"/>
    <w:rsid w:val="00C062BF"/>
    <w:rsid w:val="00C1191A"/>
    <w:rsid w:val="00C362A2"/>
    <w:rsid w:val="00C6019E"/>
    <w:rsid w:val="00C61752"/>
    <w:rsid w:val="00C90121"/>
    <w:rsid w:val="00C96E73"/>
    <w:rsid w:val="00CA1FE8"/>
    <w:rsid w:val="00CA344F"/>
    <w:rsid w:val="00CA660C"/>
    <w:rsid w:val="00D1676E"/>
    <w:rsid w:val="00D21494"/>
    <w:rsid w:val="00D674C6"/>
    <w:rsid w:val="00D765D9"/>
    <w:rsid w:val="00DC0246"/>
    <w:rsid w:val="00E6518A"/>
    <w:rsid w:val="00EE4FE8"/>
    <w:rsid w:val="00F540AB"/>
    <w:rsid w:val="00F915BA"/>
    <w:rsid w:val="00FA24BD"/>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478B1FEC-AE77-46AA-B580-AE069C2F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14915</Words>
  <Characters>85022</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99738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dc:description/>
  <cp:lastModifiedBy>Kurkurina, Elina</cp:lastModifiedBy>
  <cp:revision>2</cp:revision>
  <cp:lastPrinted>2019-12-06T20:02:00Z</cp:lastPrinted>
  <dcterms:created xsi:type="dcterms:W3CDTF">2020-04-09T14:38:00Z</dcterms:created>
  <dcterms:modified xsi:type="dcterms:W3CDTF">2020-04-09T14:38:00Z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